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E03D1" w14:textId="77777777" w:rsidR="00DC0B69" w:rsidRPr="00140D94" w:rsidRDefault="00DC0B69" w:rsidP="002219B9">
      <w:pPr>
        <w:jc w:val="both"/>
        <w:rPr>
          <w:rFonts w:cstheme="minorHAnsi"/>
          <w:b/>
        </w:rPr>
      </w:pPr>
      <w:bookmarkStart w:id="0" w:name="_GoBack"/>
      <w:bookmarkEnd w:id="0"/>
      <w:r w:rsidRPr="00140D94">
        <w:rPr>
          <w:rFonts w:cstheme="minorHAnsi"/>
          <w:b/>
        </w:rPr>
        <w:t>Nastavni zavod za hitnu medicinu Grada Zagreba, Heinzelova 88, Zagreb</w:t>
      </w:r>
    </w:p>
    <w:p w14:paraId="3795252B" w14:textId="77777777" w:rsidR="00DC0B69" w:rsidRPr="00140D94" w:rsidRDefault="00DC0B69" w:rsidP="002219B9">
      <w:pPr>
        <w:jc w:val="both"/>
        <w:rPr>
          <w:rFonts w:cstheme="minorHAnsi"/>
        </w:rPr>
      </w:pPr>
      <w:r w:rsidRPr="00140D94">
        <w:rPr>
          <w:rFonts w:cstheme="minorHAnsi"/>
        </w:rPr>
        <w:t>OIB: 44879111575, MB: 032707</w:t>
      </w:r>
      <w:r w:rsidR="00A9147A" w:rsidRPr="00140D94">
        <w:rPr>
          <w:rFonts w:cstheme="minorHAnsi"/>
        </w:rPr>
        <w:t>26, IBAN: HR5624020061100961533</w:t>
      </w:r>
    </w:p>
    <w:p w14:paraId="6FBFBDF5" w14:textId="77777777" w:rsidR="00682B86" w:rsidRPr="00140D94" w:rsidRDefault="009630E4" w:rsidP="002219B9">
      <w:pPr>
        <w:jc w:val="both"/>
        <w:rPr>
          <w:rFonts w:cstheme="minorHAnsi"/>
        </w:rPr>
      </w:pPr>
      <w:hyperlink r:id="rId8" w:history="1">
        <w:r w:rsidR="008D3485" w:rsidRPr="00140D94">
          <w:rPr>
            <w:rStyle w:val="Hiperveza"/>
            <w:rFonts w:cstheme="minorHAnsi"/>
          </w:rPr>
          <w:t>www.hitnazg.hr</w:t>
        </w:r>
      </w:hyperlink>
      <w:r w:rsidR="00DC0B69" w:rsidRPr="00140D94">
        <w:rPr>
          <w:rFonts w:cstheme="minorHAnsi"/>
        </w:rPr>
        <w:t xml:space="preserve">, e-pošta: </w:t>
      </w:r>
      <w:hyperlink r:id="rId9" w:history="1">
        <w:r w:rsidR="008D3485" w:rsidRPr="00140D94">
          <w:rPr>
            <w:rStyle w:val="Hiperveza"/>
            <w:rFonts w:cstheme="minorHAnsi"/>
          </w:rPr>
          <w:t>hitna@hitnazg.hr</w:t>
        </w:r>
      </w:hyperlink>
    </w:p>
    <w:p w14:paraId="29E749F4" w14:textId="77777777" w:rsidR="008D3485" w:rsidRPr="00140D94" w:rsidRDefault="008D3485" w:rsidP="002219B9">
      <w:pPr>
        <w:jc w:val="both"/>
        <w:rPr>
          <w:rFonts w:cstheme="minorHAnsi"/>
        </w:rPr>
      </w:pPr>
    </w:p>
    <w:p w14:paraId="290CE97D" w14:textId="77777777" w:rsidR="009F2C08" w:rsidRPr="00140D94" w:rsidRDefault="009F2C08" w:rsidP="002219B9">
      <w:pPr>
        <w:jc w:val="both"/>
        <w:rPr>
          <w:rFonts w:cstheme="minorHAnsi"/>
        </w:rPr>
      </w:pPr>
    </w:p>
    <w:p w14:paraId="6F661DB3" w14:textId="77777777" w:rsidR="00B17EC2" w:rsidRPr="00140D94" w:rsidRDefault="00B17EC2" w:rsidP="002219B9">
      <w:pPr>
        <w:jc w:val="both"/>
        <w:rPr>
          <w:rFonts w:cstheme="minorHAnsi"/>
        </w:rPr>
      </w:pPr>
    </w:p>
    <w:p w14:paraId="3B8E4C32" w14:textId="77777777" w:rsidR="006B7C77" w:rsidRPr="00140D94" w:rsidRDefault="006B7C77" w:rsidP="002219B9">
      <w:pPr>
        <w:jc w:val="both"/>
        <w:rPr>
          <w:rFonts w:cstheme="minorHAnsi"/>
        </w:rPr>
      </w:pPr>
    </w:p>
    <w:p w14:paraId="5D0DF0DB" w14:textId="77777777" w:rsidR="009433F4" w:rsidRPr="00140D94" w:rsidRDefault="009433F4" w:rsidP="009433F4">
      <w:pPr>
        <w:jc w:val="center"/>
        <w:rPr>
          <w:rFonts w:cstheme="minorHAnsi"/>
          <w:b/>
        </w:rPr>
      </w:pPr>
      <w:r w:rsidRPr="00140D94">
        <w:rPr>
          <w:rFonts w:cstheme="minorHAnsi"/>
          <w:b/>
        </w:rPr>
        <w:t>BILJEŠKE</w:t>
      </w:r>
    </w:p>
    <w:p w14:paraId="7ADDE177" w14:textId="77777777" w:rsidR="009433F4" w:rsidRPr="00140D94" w:rsidRDefault="009433F4" w:rsidP="009433F4">
      <w:pPr>
        <w:jc w:val="center"/>
        <w:rPr>
          <w:rFonts w:cstheme="minorHAnsi"/>
          <w:b/>
        </w:rPr>
      </w:pPr>
      <w:r w:rsidRPr="00140D94">
        <w:rPr>
          <w:rFonts w:cstheme="minorHAnsi"/>
          <w:b/>
        </w:rPr>
        <w:t>za razdoblje od 1. siječnja do 31. prosinca 2024. godine</w:t>
      </w:r>
    </w:p>
    <w:p w14:paraId="2D1F7F41" w14:textId="77777777" w:rsidR="006F4D41" w:rsidRPr="00140D94" w:rsidRDefault="006F4D41" w:rsidP="009433F4">
      <w:pPr>
        <w:jc w:val="center"/>
        <w:rPr>
          <w:rFonts w:cstheme="minorHAnsi"/>
          <w:b/>
        </w:rPr>
      </w:pPr>
    </w:p>
    <w:p w14:paraId="2C619F2E" w14:textId="77777777" w:rsidR="009433F4" w:rsidRPr="00140D94" w:rsidRDefault="009433F4" w:rsidP="009433F4">
      <w:pPr>
        <w:jc w:val="center"/>
        <w:rPr>
          <w:rFonts w:cstheme="minorHAnsi"/>
          <w:b/>
        </w:rPr>
      </w:pPr>
    </w:p>
    <w:p w14:paraId="382474E3" w14:textId="77777777" w:rsidR="00292FF2" w:rsidRPr="00140D94" w:rsidRDefault="00292FF2" w:rsidP="00292FF2">
      <w:pPr>
        <w:jc w:val="center"/>
        <w:rPr>
          <w:rFonts w:cstheme="minorHAnsi"/>
        </w:rPr>
      </w:pPr>
      <w:r w:rsidRPr="00140D94">
        <w:rPr>
          <w:rFonts w:cstheme="minorHAnsi"/>
        </w:rPr>
        <w:t>1. BILJEŠKE</w:t>
      </w:r>
    </w:p>
    <w:p w14:paraId="69A505C0" w14:textId="77777777" w:rsidR="00292FF2" w:rsidRPr="00140D94" w:rsidRDefault="00292FF2" w:rsidP="00292FF2">
      <w:pPr>
        <w:jc w:val="center"/>
        <w:rPr>
          <w:rFonts w:cstheme="minorHAnsi"/>
        </w:rPr>
      </w:pPr>
      <w:r w:rsidRPr="00140D94">
        <w:rPr>
          <w:rFonts w:cstheme="minorHAnsi"/>
        </w:rPr>
        <w:t>uz Izvještaj o prihodima i rashodima, primicima i izdacima</w:t>
      </w:r>
    </w:p>
    <w:p w14:paraId="7ADA760E" w14:textId="77777777" w:rsidR="00292FF2" w:rsidRPr="00140D94" w:rsidRDefault="006F4D41" w:rsidP="006F4D41">
      <w:pPr>
        <w:jc w:val="center"/>
        <w:rPr>
          <w:rFonts w:cstheme="minorHAnsi"/>
        </w:rPr>
      </w:pPr>
      <w:r w:rsidRPr="00140D94">
        <w:rPr>
          <w:rFonts w:cstheme="minorHAnsi"/>
        </w:rPr>
        <w:t>(Obrazac: PR-RAS)</w:t>
      </w:r>
    </w:p>
    <w:p w14:paraId="29EFF917" w14:textId="77777777" w:rsidR="006F4D41" w:rsidRPr="00140D94" w:rsidRDefault="006F4D41" w:rsidP="006F4D41">
      <w:pPr>
        <w:jc w:val="center"/>
        <w:rPr>
          <w:rFonts w:cstheme="minorHAnsi"/>
        </w:rPr>
      </w:pPr>
    </w:p>
    <w:p w14:paraId="7633A086" w14:textId="77777777" w:rsidR="00AA511C" w:rsidRPr="00140D94" w:rsidRDefault="00292FF2" w:rsidP="00AA511C">
      <w:pPr>
        <w:pStyle w:val="Odlomakpopisa"/>
        <w:numPr>
          <w:ilvl w:val="0"/>
          <w:numId w:val="17"/>
        </w:numPr>
        <w:jc w:val="both"/>
        <w:rPr>
          <w:rFonts w:cstheme="minorHAnsi"/>
          <w:b/>
        </w:rPr>
      </w:pPr>
      <w:r w:rsidRPr="00140D94">
        <w:rPr>
          <w:rFonts w:cstheme="minorHAnsi"/>
          <w:b/>
        </w:rPr>
        <w:t>Ukupni prihodi</w:t>
      </w:r>
    </w:p>
    <w:p w14:paraId="35A22539" w14:textId="5E0748BD" w:rsidR="009433F4" w:rsidRPr="00140D94" w:rsidRDefault="009433F4" w:rsidP="00292FF2">
      <w:pPr>
        <w:jc w:val="both"/>
        <w:rPr>
          <w:rFonts w:cstheme="minorHAnsi"/>
        </w:rPr>
      </w:pPr>
      <w:r w:rsidRPr="00140D94">
        <w:rPr>
          <w:rFonts w:cstheme="minorHAnsi"/>
        </w:rPr>
        <w:t xml:space="preserve">Ukupni prihodi poslovanja </w:t>
      </w:r>
      <w:r w:rsidR="00C74256">
        <w:rPr>
          <w:rFonts w:cstheme="minorHAnsi"/>
        </w:rPr>
        <w:t>Nastavnog zavoda za hitnu medicinu Grada Zagreba (u daljem tekstu NZHMGZ)</w:t>
      </w:r>
      <w:r w:rsidRPr="00140D94">
        <w:rPr>
          <w:rFonts w:cstheme="minorHAnsi"/>
        </w:rPr>
        <w:t xml:space="preserve"> iznose 22.661</w:t>
      </w:r>
      <w:r w:rsidR="00023AA0" w:rsidRPr="00140D94">
        <w:rPr>
          <w:rFonts w:cstheme="minorHAnsi"/>
        </w:rPr>
        <w:t>.</w:t>
      </w:r>
      <w:r w:rsidRPr="00140D94">
        <w:rPr>
          <w:rFonts w:cstheme="minorHAnsi"/>
        </w:rPr>
        <w:t xml:space="preserve">596,62 eura </w:t>
      </w:r>
      <w:r w:rsidR="009C7B18" w:rsidRPr="00140D94">
        <w:rPr>
          <w:rFonts w:cstheme="minorHAnsi"/>
        </w:rPr>
        <w:t>(indeks promjene</w:t>
      </w:r>
      <w:r w:rsidRPr="00140D94">
        <w:rPr>
          <w:rFonts w:cstheme="minorHAnsi"/>
        </w:rPr>
        <w:t xml:space="preserve"> </w:t>
      </w:r>
      <w:r w:rsidR="00023AA0" w:rsidRPr="00140D94">
        <w:rPr>
          <w:rFonts w:cstheme="minorHAnsi"/>
        </w:rPr>
        <w:t>42,4</w:t>
      </w:r>
      <w:r w:rsidR="00892E33" w:rsidRPr="00140D94">
        <w:rPr>
          <w:rFonts w:cstheme="minorHAnsi"/>
        </w:rPr>
        <w:t>%</w:t>
      </w:r>
      <w:r w:rsidR="009C7B18" w:rsidRPr="00140D94">
        <w:rPr>
          <w:rFonts w:cstheme="minorHAnsi"/>
        </w:rPr>
        <w:t>)</w:t>
      </w:r>
      <w:r w:rsidR="00023AA0" w:rsidRPr="00140D94">
        <w:rPr>
          <w:rFonts w:cstheme="minorHAnsi"/>
        </w:rPr>
        <w:t xml:space="preserve">. Rast prihoda najvećim dijelom odnosi se na prihode iz nadležnog proračuna za financiranje rashoda za nabavu nefinancijske imovine, prihoda iz nadležnog proračuna za financiranje rashoda poslovanja, te povećanje prihoda od HZZO-a na temelju ugovornih obveza </w:t>
      </w:r>
      <w:r w:rsidRPr="00140D94">
        <w:rPr>
          <w:rFonts w:cstheme="minorHAnsi"/>
        </w:rPr>
        <w:t xml:space="preserve">za pokriće isplata naknada plaća zaposlenika </w:t>
      </w:r>
      <w:r w:rsidR="00E21644">
        <w:rPr>
          <w:rFonts w:cstheme="minorHAnsi"/>
        </w:rPr>
        <w:t>prema novoj</w:t>
      </w:r>
      <w:r w:rsidR="00524321" w:rsidRPr="00524321">
        <w:t xml:space="preserve"> </w:t>
      </w:r>
      <w:r w:rsidR="00E21644">
        <w:t>Uredbi</w:t>
      </w:r>
      <w:r w:rsidR="00524321" w:rsidRPr="006F147A">
        <w:t xml:space="preserve"> o nazivima radnih mjesta, uvjetima za raspored i koeficijentima za obračun plaće u javnim službama</w:t>
      </w:r>
      <w:r w:rsidR="00524321">
        <w:t xml:space="preserve"> („Narodne novine“, broj 22/2024.)</w:t>
      </w:r>
      <w:r w:rsidR="00023AA0" w:rsidRPr="00140D94">
        <w:rPr>
          <w:rFonts w:cstheme="minorHAnsi"/>
        </w:rPr>
        <w:t xml:space="preserve"> </w:t>
      </w:r>
    </w:p>
    <w:p w14:paraId="287ACEF4" w14:textId="77777777" w:rsidR="00892E33" w:rsidRPr="00140D94" w:rsidRDefault="00892E33" w:rsidP="00292FF2">
      <w:pPr>
        <w:jc w:val="both"/>
        <w:rPr>
          <w:rFonts w:cstheme="minorHAnsi"/>
        </w:rPr>
      </w:pPr>
    </w:p>
    <w:p w14:paraId="0A6238EA" w14:textId="77777777" w:rsidR="009433F4" w:rsidRPr="00140D94" w:rsidRDefault="00892E33" w:rsidP="009433F4">
      <w:pPr>
        <w:jc w:val="both"/>
        <w:rPr>
          <w:rFonts w:cstheme="minorHAnsi"/>
          <w:b/>
        </w:rPr>
      </w:pPr>
      <w:r w:rsidRPr="00140D94">
        <w:rPr>
          <w:rFonts w:cstheme="minorHAnsi"/>
          <w:b/>
        </w:rPr>
        <w:t>Odstupanja se odnose na slijedeće prihode:</w:t>
      </w:r>
    </w:p>
    <w:p w14:paraId="752E2D6A" w14:textId="77777777" w:rsidR="00155084" w:rsidRPr="00140D94" w:rsidRDefault="009433F4" w:rsidP="009433F4">
      <w:pPr>
        <w:jc w:val="both"/>
        <w:rPr>
          <w:rFonts w:cstheme="minorHAnsi"/>
        </w:rPr>
      </w:pPr>
      <w:r w:rsidRPr="00140D94">
        <w:rPr>
          <w:rFonts w:cstheme="minorHAnsi"/>
          <w:b/>
        </w:rPr>
        <w:t>6526</w:t>
      </w:r>
      <w:r w:rsidR="00745042" w:rsidRPr="00140D94">
        <w:rPr>
          <w:rFonts w:cstheme="minorHAnsi"/>
          <w:b/>
        </w:rPr>
        <w:t xml:space="preserve"> </w:t>
      </w:r>
      <w:r w:rsidR="00745042" w:rsidRPr="00140D94">
        <w:rPr>
          <w:rFonts w:cstheme="minorHAnsi"/>
        </w:rPr>
        <w:t xml:space="preserve">– ostali nespomenuti </w:t>
      </w:r>
      <w:r w:rsidR="00155084" w:rsidRPr="00140D94">
        <w:rPr>
          <w:rFonts w:cstheme="minorHAnsi"/>
        </w:rPr>
        <w:t>prihodi</w:t>
      </w:r>
      <w:r w:rsidR="00745042" w:rsidRPr="00140D94">
        <w:rPr>
          <w:rFonts w:cstheme="minorHAnsi"/>
        </w:rPr>
        <w:t xml:space="preserve"> </w:t>
      </w:r>
      <w:r w:rsidR="00155084" w:rsidRPr="00140D94">
        <w:rPr>
          <w:rFonts w:cstheme="minorHAnsi"/>
        </w:rPr>
        <w:t>(indeks promjene 266</w:t>
      </w:r>
      <w:r w:rsidR="00892E33" w:rsidRPr="00140D94">
        <w:rPr>
          <w:rFonts w:cstheme="minorHAnsi"/>
        </w:rPr>
        <w:t>%</w:t>
      </w:r>
      <w:r w:rsidR="00155084" w:rsidRPr="00140D94">
        <w:rPr>
          <w:rFonts w:cstheme="minorHAnsi"/>
        </w:rPr>
        <w:t xml:space="preserve">), </w:t>
      </w:r>
      <w:r w:rsidR="00745042" w:rsidRPr="00140D94">
        <w:rPr>
          <w:rFonts w:cstheme="minorHAnsi"/>
        </w:rPr>
        <w:t xml:space="preserve">a odnosi se na prihode </w:t>
      </w:r>
      <w:r w:rsidRPr="00140D94">
        <w:rPr>
          <w:rFonts w:cstheme="minorHAnsi"/>
        </w:rPr>
        <w:t>s naslova osiguranja, štete, totalne štete u prethodnim godinama čija je realizacija</w:t>
      </w:r>
      <w:r w:rsidR="00892E33" w:rsidRPr="00140D94">
        <w:rPr>
          <w:rFonts w:cstheme="minorHAnsi"/>
        </w:rPr>
        <w:t xml:space="preserve"> naplate od osiguravajućih kuća dospjela </w:t>
      </w:r>
      <w:r w:rsidR="00C74256">
        <w:rPr>
          <w:rFonts w:cstheme="minorHAnsi"/>
        </w:rPr>
        <w:t>u 2024. godini.</w:t>
      </w:r>
    </w:p>
    <w:p w14:paraId="0791357F" w14:textId="77777777" w:rsidR="009433F4" w:rsidRPr="00140D94" w:rsidRDefault="00155084" w:rsidP="009433F4">
      <w:pPr>
        <w:jc w:val="both"/>
        <w:rPr>
          <w:rFonts w:cstheme="minorHAnsi"/>
        </w:rPr>
      </w:pPr>
      <w:r w:rsidRPr="00140D94">
        <w:rPr>
          <w:rFonts w:cstheme="minorHAnsi"/>
          <w:b/>
        </w:rPr>
        <w:t>6711</w:t>
      </w:r>
      <w:r w:rsidRPr="00140D94">
        <w:rPr>
          <w:rFonts w:cstheme="minorHAnsi"/>
        </w:rPr>
        <w:t xml:space="preserve"> - prihoda iz nadležnog proračuna za financiranje rashoda poslovanja </w:t>
      </w:r>
      <w:r w:rsidR="00892E33" w:rsidRPr="00140D94">
        <w:rPr>
          <w:rFonts w:cstheme="minorHAnsi"/>
        </w:rPr>
        <w:t xml:space="preserve">bilježi povećanje za 152,2% a </w:t>
      </w:r>
      <w:r w:rsidRPr="00140D94">
        <w:rPr>
          <w:rFonts w:cstheme="minorHAnsi"/>
        </w:rPr>
        <w:t>odnosi se decentralizirana sredstva te financijske potpore Grada</w:t>
      </w:r>
      <w:r w:rsidR="002A381B" w:rsidRPr="00140D94">
        <w:rPr>
          <w:rFonts w:cstheme="minorHAnsi"/>
        </w:rPr>
        <w:t xml:space="preserve"> Zagreba za redovito poslovanje</w:t>
      </w:r>
      <w:r w:rsidR="00C74256">
        <w:rPr>
          <w:rFonts w:cstheme="minorHAnsi"/>
        </w:rPr>
        <w:t>.</w:t>
      </w:r>
    </w:p>
    <w:p w14:paraId="68BDF185" w14:textId="77777777" w:rsidR="009433F4" w:rsidRPr="00140D94" w:rsidRDefault="009433F4" w:rsidP="009433F4">
      <w:pPr>
        <w:jc w:val="both"/>
        <w:rPr>
          <w:rFonts w:cstheme="minorHAnsi"/>
        </w:rPr>
      </w:pPr>
      <w:r w:rsidRPr="00140D94">
        <w:rPr>
          <w:rFonts w:cstheme="minorHAnsi"/>
          <w:b/>
        </w:rPr>
        <w:t>6712</w:t>
      </w:r>
      <w:r w:rsidR="00745042" w:rsidRPr="00140D94">
        <w:rPr>
          <w:rFonts w:cstheme="minorHAnsi"/>
          <w:b/>
        </w:rPr>
        <w:t xml:space="preserve"> </w:t>
      </w:r>
      <w:r w:rsidRPr="00140D94">
        <w:rPr>
          <w:rFonts w:cstheme="minorHAnsi"/>
          <w:b/>
        </w:rPr>
        <w:t>-</w:t>
      </w:r>
      <w:r w:rsidR="00745042" w:rsidRPr="00140D94">
        <w:rPr>
          <w:rFonts w:cstheme="minorHAnsi"/>
          <w:b/>
        </w:rPr>
        <w:t xml:space="preserve"> </w:t>
      </w:r>
      <w:r w:rsidRPr="00140D94">
        <w:rPr>
          <w:rFonts w:cstheme="minorHAnsi"/>
        </w:rPr>
        <w:t xml:space="preserve">prihodi iz nadležnog proračuna za financiranje rashoda </w:t>
      </w:r>
      <w:r w:rsidR="00892E33" w:rsidRPr="00140D94">
        <w:rPr>
          <w:rFonts w:cstheme="minorHAnsi"/>
        </w:rPr>
        <w:t xml:space="preserve">za nabavu nefinancijske imovine </w:t>
      </w:r>
      <w:r w:rsidR="00801399" w:rsidRPr="00140D94">
        <w:rPr>
          <w:rFonts w:cstheme="minorHAnsi"/>
        </w:rPr>
        <w:t>odnose se na sredstva koja su</w:t>
      </w:r>
      <w:r w:rsidRPr="00140D94">
        <w:rPr>
          <w:rFonts w:cstheme="minorHAnsi"/>
        </w:rPr>
        <w:t xml:space="preserve"> doznačena </w:t>
      </w:r>
      <w:r w:rsidR="00801399" w:rsidRPr="00140D94">
        <w:rPr>
          <w:rFonts w:cstheme="minorHAnsi"/>
        </w:rPr>
        <w:t xml:space="preserve">od Grada Zagreba u </w:t>
      </w:r>
      <w:r w:rsidRPr="00140D94">
        <w:rPr>
          <w:rFonts w:cstheme="minorHAnsi"/>
        </w:rPr>
        <w:t xml:space="preserve">iznosu od </w:t>
      </w:r>
      <w:r w:rsidR="003F5A2A" w:rsidRPr="00140D94">
        <w:rPr>
          <w:rFonts w:cstheme="minorHAnsi"/>
        </w:rPr>
        <w:t>2.142.299,45</w:t>
      </w:r>
      <w:r w:rsidRPr="00140D94">
        <w:rPr>
          <w:rFonts w:cstheme="minorHAnsi"/>
        </w:rPr>
        <w:t xml:space="preserve"> eura </w:t>
      </w:r>
      <w:r w:rsidR="003F29A1" w:rsidRPr="00140D94">
        <w:rPr>
          <w:rFonts w:cstheme="minorHAnsi"/>
        </w:rPr>
        <w:t>za nabavu devetnaest</w:t>
      </w:r>
      <w:r w:rsidRPr="00140D94">
        <w:rPr>
          <w:rFonts w:cstheme="minorHAnsi"/>
        </w:rPr>
        <w:t xml:space="preserve"> </w:t>
      </w:r>
      <w:r w:rsidR="003F29A1" w:rsidRPr="00140D94">
        <w:rPr>
          <w:rFonts w:cstheme="minorHAnsi"/>
        </w:rPr>
        <w:t xml:space="preserve">novih </w:t>
      </w:r>
      <w:r w:rsidRPr="00140D94">
        <w:rPr>
          <w:rFonts w:cstheme="minorHAnsi"/>
        </w:rPr>
        <w:t>vozila čija je</w:t>
      </w:r>
      <w:r w:rsidR="003F29A1" w:rsidRPr="00140D94">
        <w:rPr>
          <w:rFonts w:cstheme="minorHAnsi"/>
        </w:rPr>
        <w:t xml:space="preserve"> namjena za sanitetski prijevoz te </w:t>
      </w:r>
      <w:r w:rsidR="003F5A2A" w:rsidRPr="00140D94">
        <w:rPr>
          <w:rFonts w:cstheme="minorHAnsi"/>
        </w:rPr>
        <w:t>dodatna ugradnja nužno potrebnim postoljima, n</w:t>
      </w:r>
      <w:r w:rsidR="002A381B" w:rsidRPr="00140D94">
        <w:rPr>
          <w:rFonts w:cstheme="minorHAnsi"/>
        </w:rPr>
        <w:t>osilima i fiksatorima za nosila</w:t>
      </w:r>
      <w:r w:rsidR="00C74256">
        <w:rPr>
          <w:rFonts w:cstheme="minorHAnsi"/>
        </w:rPr>
        <w:t>.</w:t>
      </w:r>
    </w:p>
    <w:p w14:paraId="59E777D9" w14:textId="77777777" w:rsidR="009433F4" w:rsidRPr="00140D94" w:rsidRDefault="009433F4" w:rsidP="009433F4">
      <w:pPr>
        <w:jc w:val="both"/>
        <w:rPr>
          <w:rFonts w:cstheme="minorHAnsi"/>
          <w:color w:val="FF0000"/>
        </w:rPr>
      </w:pPr>
      <w:r w:rsidRPr="00140D94">
        <w:rPr>
          <w:rFonts w:cstheme="minorHAnsi"/>
          <w:b/>
        </w:rPr>
        <w:t>6714</w:t>
      </w:r>
      <w:r w:rsidR="00745042" w:rsidRPr="00140D94">
        <w:rPr>
          <w:rFonts w:cstheme="minorHAnsi"/>
          <w:b/>
        </w:rPr>
        <w:t xml:space="preserve"> </w:t>
      </w:r>
      <w:r w:rsidRPr="00140D94">
        <w:rPr>
          <w:rFonts w:cstheme="minorHAnsi"/>
          <w:b/>
        </w:rPr>
        <w:t>-</w:t>
      </w:r>
      <w:r w:rsidR="00745042" w:rsidRPr="00140D94">
        <w:rPr>
          <w:rFonts w:cstheme="minorHAnsi"/>
          <w:b/>
        </w:rPr>
        <w:t xml:space="preserve"> </w:t>
      </w:r>
      <w:r w:rsidRPr="00140D94">
        <w:rPr>
          <w:rFonts w:cstheme="minorHAnsi"/>
        </w:rPr>
        <w:t>prihodi iz nadležnog proračuna za nabavu nefinancijske imovine</w:t>
      </w:r>
      <w:r w:rsidR="005C7EDF" w:rsidRPr="00140D94">
        <w:rPr>
          <w:rFonts w:cstheme="minorHAnsi"/>
        </w:rPr>
        <w:t xml:space="preserve"> </w:t>
      </w:r>
      <w:r w:rsidRPr="00140D94">
        <w:rPr>
          <w:rFonts w:cstheme="minorHAnsi"/>
        </w:rPr>
        <w:t xml:space="preserve">- doznačena su sredstva od strane Grada Zagreba za </w:t>
      </w:r>
      <w:r w:rsidR="00C74256">
        <w:rPr>
          <w:rFonts w:cstheme="minorHAnsi"/>
        </w:rPr>
        <w:t>četvrtu</w:t>
      </w:r>
      <w:r w:rsidRPr="00140D94">
        <w:rPr>
          <w:rFonts w:cstheme="minorHAnsi"/>
        </w:rPr>
        <w:t xml:space="preserve"> i petu ratu kredita te kamate u iznosu od 907.226,76 eura. </w:t>
      </w:r>
    </w:p>
    <w:p w14:paraId="1FED9554" w14:textId="7767AAD4" w:rsidR="009433F4" w:rsidRDefault="009433F4" w:rsidP="009433F4">
      <w:pPr>
        <w:jc w:val="both"/>
        <w:rPr>
          <w:rFonts w:cstheme="minorHAnsi"/>
        </w:rPr>
      </w:pPr>
      <w:r w:rsidRPr="00140D94">
        <w:rPr>
          <w:rFonts w:cstheme="minorHAnsi"/>
          <w:b/>
        </w:rPr>
        <w:t>673</w:t>
      </w:r>
      <w:r w:rsidR="00745042" w:rsidRPr="00140D94">
        <w:rPr>
          <w:rFonts w:cstheme="minorHAnsi"/>
          <w:b/>
        </w:rPr>
        <w:t xml:space="preserve"> </w:t>
      </w:r>
      <w:r w:rsidRPr="00140D94">
        <w:rPr>
          <w:rFonts w:cstheme="minorHAnsi"/>
        </w:rPr>
        <w:t>- prihod od HZZO-a na temelju ugovornih obveza</w:t>
      </w:r>
      <w:r w:rsidR="005C7EDF" w:rsidRPr="00140D94">
        <w:rPr>
          <w:rFonts w:cstheme="minorHAnsi"/>
        </w:rPr>
        <w:t xml:space="preserve"> </w:t>
      </w:r>
      <w:r w:rsidRPr="00140D94">
        <w:rPr>
          <w:rFonts w:cstheme="minorHAnsi"/>
        </w:rPr>
        <w:t>-</w:t>
      </w:r>
      <w:r w:rsidR="005C7EDF" w:rsidRPr="00140D94">
        <w:rPr>
          <w:rFonts w:cstheme="minorHAnsi"/>
        </w:rPr>
        <w:t xml:space="preserve"> </w:t>
      </w:r>
      <w:r w:rsidRPr="00140D94">
        <w:rPr>
          <w:rFonts w:cstheme="minorHAnsi"/>
        </w:rPr>
        <w:t>povećanja iznosa glavarine od HZZO-a za pokriće isplata naknada plaća zaposlenika na temelju nove Uredbe o</w:t>
      </w:r>
      <w:r w:rsidR="002A381B" w:rsidRPr="00140D94">
        <w:rPr>
          <w:rFonts w:cstheme="minorHAnsi"/>
        </w:rPr>
        <w:t> koeficijentima</w:t>
      </w:r>
      <w:r w:rsidR="0017725C">
        <w:rPr>
          <w:rFonts w:cstheme="minorHAnsi"/>
        </w:rPr>
        <w:t>.</w:t>
      </w:r>
    </w:p>
    <w:p w14:paraId="5F118B0A" w14:textId="77777777" w:rsidR="00F13941" w:rsidRPr="00140D94" w:rsidRDefault="00F13941" w:rsidP="009433F4">
      <w:pPr>
        <w:jc w:val="both"/>
        <w:rPr>
          <w:rFonts w:cstheme="minorHAnsi"/>
        </w:rPr>
      </w:pPr>
    </w:p>
    <w:p w14:paraId="788674A7" w14:textId="77777777" w:rsidR="009433F4" w:rsidRPr="00140D94" w:rsidRDefault="009433F4" w:rsidP="009433F4">
      <w:pPr>
        <w:jc w:val="both"/>
        <w:rPr>
          <w:rFonts w:cstheme="minorHAnsi"/>
        </w:rPr>
      </w:pPr>
    </w:p>
    <w:p w14:paraId="59363343" w14:textId="77777777" w:rsidR="00AA511C" w:rsidRPr="00140D94" w:rsidRDefault="00292FF2" w:rsidP="00AA511C">
      <w:pPr>
        <w:pStyle w:val="Odlomakpopisa"/>
        <w:numPr>
          <w:ilvl w:val="0"/>
          <w:numId w:val="17"/>
        </w:numPr>
        <w:jc w:val="both"/>
        <w:rPr>
          <w:rFonts w:cstheme="minorHAnsi"/>
          <w:b/>
        </w:rPr>
      </w:pPr>
      <w:r w:rsidRPr="00140D94">
        <w:rPr>
          <w:rFonts w:cstheme="minorHAnsi"/>
          <w:b/>
        </w:rPr>
        <w:t>Ukupni rashodi</w:t>
      </w:r>
    </w:p>
    <w:p w14:paraId="0F597047" w14:textId="7C3A06C9" w:rsidR="00524321" w:rsidRDefault="007A1F7F" w:rsidP="00B87B1A">
      <w:pPr>
        <w:jc w:val="both"/>
        <w:rPr>
          <w:rFonts w:cstheme="minorHAnsi"/>
        </w:rPr>
      </w:pPr>
      <w:r w:rsidRPr="00140D94">
        <w:rPr>
          <w:rFonts w:cstheme="minorHAnsi"/>
        </w:rPr>
        <w:t>Ukupni rashodi i izdaci (rashodi poslovanja, rashodi za nabavu nefinancijske imovine, te izdaci za financijsku imovinu i otplatu kredita)</w:t>
      </w:r>
      <w:r w:rsidRPr="00140D94">
        <w:rPr>
          <w:rFonts w:cstheme="minorHAnsi"/>
          <w:color w:val="FF0000"/>
        </w:rPr>
        <w:t xml:space="preserve"> </w:t>
      </w:r>
      <w:r w:rsidRPr="00140D94">
        <w:rPr>
          <w:rFonts w:cstheme="minorHAnsi"/>
        </w:rPr>
        <w:t xml:space="preserve">iznose </w:t>
      </w:r>
      <w:r w:rsidR="006464C5">
        <w:rPr>
          <w:rFonts w:cstheme="minorHAnsi"/>
        </w:rPr>
        <w:t>23.181.744,02</w:t>
      </w:r>
      <w:r w:rsidRPr="00140D94">
        <w:rPr>
          <w:rFonts w:cstheme="minorHAnsi"/>
        </w:rPr>
        <w:t xml:space="preserve"> eura (indeks promjene</w:t>
      </w:r>
      <w:r w:rsidR="006464C5">
        <w:rPr>
          <w:rFonts w:cstheme="minorHAnsi"/>
        </w:rPr>
        <w:t xml:space="preserve"> 39,9 </w:t>
      </w:r>
      <w:r w:rsidR="005C7EDF" w:rsidRPr="00140D94">
        <w:rPr>
          <w:rFonts w:cstheme="minorHAnsi"/>
        </w:rPr>
        <w:t>%</w:t>
      </w:r>
      <w:r w:rsidRPr="00140D94">
        <w:rPr>
          <w:rFonts w:cstheme="minorHAnsi"/>
        </w:rPr>
        <w:t xml:space="preserve">). </w:t>
      </w:r>
      <w:r w:rsidR="00B87B1A" w:rsidRPr="00140D94">
        <w:rPr>
          <w:rFonts w:cstheme="minorHAnsi"/>
        </w:rPr>
        <w:t>Najveće povećanje odnosi se</w:t>
      </w:r>
      <w:r w:rsidR="005C7EDF" w:rsidRPr="00140D94">
        <w:rPr>
          <w:rFonts w:cstheme="minorHAnsi"/>
        </w:rPr>
        <w:t xml:space="preserve"> na</w:t>
      </w:r>
      <w:r w:rsidR="00B87B1A" w:rsidRPr="00140D94">
        <w:rPr>
          <w:rFonts w:cstheme="minorHAnsi"/>
        </w:rPr>
        <w:t xml:space="preserve"> plaće zaposlenika i ostale naknade na temelju nove </w:t>
      </w:r>
      <w:r w:rsidR="00062782">
        <w:rPr>
          <w:rFonts w:cstheme="minorHAnsi"/>
        </w:rPr>
        <w:t>Uredbe</w:t>
      </w:r>
      <w:r w:rsidR="00524321" w:rsidRPr="00524321">
        <w:rPr>
          <w:rFonts w:cstheme="minorHAnsi"/>
        </w:rPr>
        <w:t xml:space="preserve"> o nazivima radnih mjesta, uvjetima za raspored i koeficijentima za obračun plaće u javnim službama („Narodne novine“, broj 22/2024.)</w:t>
      </w:r>
      <w:r w:rsidR="00B87B1A" w:rsidRPr="00140D94">
        <w:rPr>
          <w:rFonts w:cstheme="minorHAnsi"/>
        </w:rPr>
        <w:t xml:space="preserve"> te povećanje iznosa dnevnica za službena putovanja </w:t>
      </w:r>
      <w:r w:rsidR="006E6F41" w:rsidRPr="00140D94">
        <w:rPr>
          <w:rFonts w:cstheme="minorHAnsi"/>
        </w:rPr>
        <w:t xml:space="preserve">(prijevoz pacijenata) </w:t>
      </w:r>
      <w:r w:rsidR="00B87B1A" w:rsidRPr="00140D94">
        <w:rPr>
          <w:rFonts w:cstheme="minorHAnsi"/>
        </w:rPr>
        <w:t xml:space="preserve">u inozemstvo na temelju </w:t>
      </w:r>
      <w:r w:rsidR="00524321" w:rsidRPr="006F147A">
        <w:t>Odluka o visini dnevnice za službeno putovanje u inozemstvo za korisnike koji se financiraju iz sredstava državnog proračuna</w:t>
      </w:r>
      <w:r w:rsidR="00524321">
        <w:t xml:space="preserve"> („Narodne novine“, broj 16/2024.)</w:t>
      </w:r>
      <w:r w:rsidR="00524321">
        <w:rPr>
          <w:rFonts w:cstheme="minorHAnsi"/>
        </w:rPr>
        <w:t>.</w:t>
      </w:r>
    </w:p>
    <w:p w14:paraId="75350C96" w14:textId="77777777" w:rsidR="006763B2" w:rsidRPr="00140D94" w:rsidRDefault="00524321" w:rsidP="00B87B1A">
      <w:pPr>
        <w:jc w:val="both"/>
        <w:rPr>
          <w:rFonts w:cstheme="minorHAnsi"/>
        </w:rPr>
      </w:pPr>
      <w:r w:rsidRPr="00140D94">
        <w:rPr>
          <w:rFonts w:cstheme="minorHAnsi"/>
        </w:rPr>
        <w:t xml:space="preserve"> </w:t>
      </w:r>
    </w:p>
    <w:p w14:paraId="0F30CA8F" w14:textId="77777777" w:rsidR="006B5519" w:rsidRPr="006763B2" w:rsidRDefault="006763B2" w:rsidP="00B87B1A">
      <w:pPr>
        <w:jc w:val="both"/>
        <w:rPr>
          <w:rFonts w:cstheme="minorHAnsi"/>
          <w:b/>
        </w:rPr>
      </w:pPr>
      <w:r w:rsidRPr="00140D94">
        <w:rPr>
          <w:rFonts w:cstheme="minorHAnsi"/>
          <w:b/>
        </w:rPr>
        <w:t xml:space="preserve">Odstupanja se odnose </w:t>
      </w:r>
      <w:r>
        <w:rPr>
          <w:rFonts w:cstheme="minorHAnsi"/>
          <w:b/>
        </w:rPr>
        <w:t>na slijedeće rashode</w:t>
      </w:r>
      <w:r w:rsidRPr="00140D94">
        <w:rPr>
          <w:rFonts w:cstheme="minorHAnsi"/>
          <w:b/>
        </w:rPr>
        <w:t>:</w:t>
      </w:r>
    </w:p>
    <w:p w14:paraId="5DD7915C" w14:textId="6D9BFAB2" w:rsidR="006B5519" w:rsidRPr="00140D94" w:rsidRDefault="006B5519" w:rsidP="006B5519">
      <w:pPr>
        <w:jc w:val="both"/>
        <w:rPr>
          <w:rFonts w:cstheme="minorHAnsi"/>
        </w:rPr>
      </w:pPr>
      <w:r w:rsidRPr="00140D94">
        <w:rPr>
          <w:rFonts w:cstheme="minorHAnsi"/>
          <w:b/>
        </w:rPr>
        <w:t>3213</w:t>
      </w:r>
      <w:r w:rsidRPr="00140D94">
        <w:rPr>
          <w:rFonts w:cstheme="minorHAnsi"/>
        </w:rPr>
        <w:t xml:space="preserve"> - </w:t>
      </w:r>
      <w:r w:rsidR="004A7812" w:rsidRPr="00140D94">
        <w:rPr>
          <w:rFonts w:cstheme="minorHAnsi"/>
        </w:rPr>
        <w:t>s</w:t>
      </w:r>
      <w:r w:rsidRPr="00140D94">
        <w:rPr>
          <w:rFonts w:cstheme="minorHAnsi"/>
        </w:rPr>
        <w:t>tručn</w:t>
      </w:r>
      <w:r w:rsidR="00793474">
        <w:rPr>
          <w:rFonts w:cstheme="minorHAnsi"/>
        </w:rPr>
        <w:t>o usavršavanje zaposlenika NZHMGZ</w:t>
      </w:r>
      <w:r w:rsidRPr="00140D94">
        <w:rPr>
          <w:rFonts w:cstheme="minorHAnsi"/>
        </w:rPr>
        <w:t xml:space="preserve"> bilježi značajno povećanje a odnosi se na stručno usavršavanje 13 medicinskih tehničara, treninge sigurne vožnje </w:t>
      </w:r>
      <w:r w:rsidR="002C4EA3" w:rsidRPr="00140D94">
        <w:rPr>
          <w:rFonts w:cstheme="minorHAnsi"/>
        </w:rPr>
        <w:t xml:space="preserve">za 24 </w:t>
      </w:r>
      <w:r w:rsidR="00F13941" w:rsidRPr="00F13941">
        <w:t xml:space="preserve"> </w:t>
      </w:r>
      <w:r w:rsidR="00F13941">
        <w:rPr>
          <w:rFonts w:cstheme="minorHAnsi"/>
        </w:rPr>
        <w:t>d</w:t>
      </w:r>
      <w:r w:rsidR="00F13941" w:rsidRPr="00F13941">
        <w:rPr>
          <w:rFonts w:cstheme="minorHAnsi"/>
        </w:rPr>
        <w:t xml:space="preserve">jelatnika zaposlenih na radnom </w:t>
      </w:r>
      <w:r w:rsidR="00F13941" w:rsidRPr="00F13941">
        <w:rPr>
          <w:rFonts w:cstheme="minorHAnsi"/>
        </w:rPr>
        <w:lastRenderedPageBreak/>
        <w:t>mjestu medicinskih tehničara u djelatnosti hitne medicine, a kod kojih je uvjet radnog mjesta i sastavni dio opisa poslova i upravljane sanitetskim vozilom</w:t>
      </w:r>
      <w:r w:rsidR="00F13941">
        <w:rPr>
          <w:rFonts w:cstheme="minorHAnsi"/>
        </w:rPr>
        <w:t xml:space="preserve"> </w:t>
      </w:r>
      <w:r w:rsidRPr="00140D94">
        <w:rPr>
          <w:rFonts w:cstheme="minorHAnsi"/>
        </w:rPr>
        <w:t xml:space="preserve">te </w:t>
      </w:r>
      <w:r w:rsidR="008D6221">
        <w:rPr>
          <w:rFonts w:cstheme="minorHAnsi"/>
        </w:rPr>
        <w:t xml:space="preserve">za </w:t>
      </w:r>
      <w:r w:rsidRPr="00140D94">
        <w:rPr>
          <w:rFonts w:cstheme="minorHAnsi"/>
        </w:rPr>
        <w:t xml:space="preserve">tečajeve i stručne </w:t>
      </w:r>
      <w:r w:rsidR="0085791F" w:rsidRPr="00140D94">
        <w:rPr>
          <w:rFonts w:cstheme="minorHAnsi"/>
        </w:rPr>
        <w:t>ispite</w:t>
      </w:r>
      <w:r w:rsidR="002C4EA3" w:rsidRPr="00140D94">
        <w:rPr>
          <w:rFonts w:cstheme="minorHAnsi"/>
        </w:rPr>
        <w:t xml:space="preserve"> specijaliza</w:t>
      </w:r>
      <w:r w:rsidR="002A381B" w:rsidRPr="00140D94">
        <w:rPr>
          <w:rFonts w:cstheme="minorHAnsi"/>
        </w:rPr>
        <w:t>nata</w:t>
      </w:r>
      <w:r w:rsidR="00793474">
        <w:rPr>
          <w:rFonts w:cstheme="minorHAnsi"/>
        </w:rPr>
        <w:t>.</w:t>
      </w:r>
    </w:p>
    <w:p w14:paraId="31F06637" w14:textId="77777777" w:rsidR="0010408E" w:rsidRPr="00140D94" w:rsidRDefault="00292FF2" w:rsidP="00D81479">
      <w:pPr>
        <w:jc w:val="both"/>
        <w:rPr>
          <w:rFonts w:cstheme="minorHAnsi"/>
        </w:rPr>
      </w:pPr>
      <w:r w:rsidRPr="00140D94">
        <w:rPr>
          <w:rFonts w:cstheme="minorHAnsi"/>
          <w:b/>
        </w:rPr>
        <w:t xml:space="preserve">3225 - </w:t>
      </w:r>
      <w:r w:rsidR="00AA511C" w:rsidRPr="00140D94">
        <w:rPr>
          <w:rFonts w:cstheme="minorHAnsi"/>
        </w:rPr>
        <w:t xml:space="preserve"> </w:t>
      </w:r>
      <w:r w:rsidR="004A7812" w:rsidRPr="00140D94">
        <w:rPr>
          <w:rFonts w:cstheme="minorHAnsi"/>
        </w:rPr>
        <w:t>s</w:t>
      </w:r>
      <w:r w:rsidR="00AA511C" w:rsidRPr="00140D94">
        <w:rPr>
          <w:rFonts w:cstheme="minorHAnsi"/>
        </w:rPr>
        <w:t>itni inventar i auto gume, (indeks promjene 226,30</w:t>
      </w:r>
      <w:r w:rsidR="002C4EA3" w:rsidRPr="00140D94">
        <w:rPr>
          <w:rFonts w:cstheme="minorHAnsi"/>
        </w:rPr>
        <w:t>%</w:t>
      </w:r>
      <w:r w:rsidR="00AA511C" w:rsidRPr="00140D94">
        <w:rPr>
          <w:rFonts w:cstheme="minorHAnsi"/>
        </w:rPr>
        <w:t xml:space="preserve">) odnosi se na opremu za </w:t>
      </w:r>
      <w:r w:rsidRPr="00140D94">
        <w:rPr>
          <w:rFonts w:cstheme="minorHAnsi"/>
        </w:rPr>
        <w:t xml:space="preserve">novonabavljena vozila te </w:t>
      </w:r>
      <w:r w:rsidR="00AA511C" w:rsidRPr="00140D94">
        <w:rPr>
          <w:rFonts w:cstheme="minorHAnsi"/>
        </w:rPr>
        <w:t>auto gume za</w:t>
      </w:r>
      <w:r w:rsidR="0085791F" w:rsidRPr="00140D94">
        <w:rPr>
          <w:rFonts w:cstheme="minorHAnsi"/>
        </w:rPr>
        <w:t xml:space="preserve"> stara vozila</w:t>
      </w:r>
      <w:r w:rsidR="00793474">
        <w:rPr>
          <w:rFonts w:cstheme="minorHAnsi"/>
        </w:rPr>
        <w:t>.</w:t>
      </w:r>
    </w:p>
    <w:p w14:paraId="6E8E261E" w14:textId="77777777" w:rsidR="00D81479" w:rsidRPr="00140D94" w:rsidRDefault="0010408E" w:rsidP="00292FF2">
      <w:pPr>
        <w:jc w:val="both"/>
        <w:rPr>
          <w:rFonts w:cstheme="minorHAnsi"/>
        </w:rPr>
      </w:pPr>
      <w:r w:rsidRPr="00140D94">
        <w:rPr>
          <w:rFonts w:cstheme="minorHAnsi"/>
          <w:b/>
        </w:rPr>
        <w:t>3232</w:t>
      </w:r>
      <w:r w:rsidRPr="00140D94">
        <w:rPr>
          <w:rFonts w:cstheme="minorHAnsi"/>
        </w:rPr>
        <w:t xml:space="preserve"> - </w:t>
      </w:r>
      <w:r w:rsidR="004A7812" w:rsidRPr="00140D94">
        <w:rPr>
          <w:rFonts w:cstheme="minorHAnsi"/>
        </w:rPr>
        <w:t>u</w:t>
      </w:r>
      <w:r w:rsidRPr="00140D94">
        <w:rPr>
          <w:rFonts w:cstheme="minorHAnsi"/>
        </w:rPr>
        <w:t>sluge tekućeg i investicijskog održavanja (indeks promjene 43,20</w:t>
      </w:r>
      <w:r w:rsidR="002C4EA3" w:rsidRPr="00140D94">
        <w:rPr>
          <w:rFonts w:cstheme="minorHAnsi"/>
        </w:rPr>
        <w:t>%</w:t>
      </w:r>
      <w:r w:rsidRPr="00140D94">
        <w:rPr>
          <w:rFonts w:cstheme="minorHAnsi"/>
        </w:rPr>
        <w:t xml:space="preserve">) što je posljedica porasta rashoda za građevinske objekte, za opremu (servis i popravci nove medicinske opreme u vozilima),  te </w:t>
      </w:r>
      <w:r w:rsidR="002C4EA3" w:rsidRPr="00140D94">
        <w:rPr>
          <w:rFonts w:cstheme="minorHAnsi"/>
        </w:rPr>
        <w:t xml:space="preserve">popravak i </w:t>
      </w:r>
      <w:r w:rsidRPr="00140D94">
        <w:rPr>
          <w:rFonts w:cstheme="minorHAnsi"/>
        </w:rPr>
        <w:t>servis rashladnika</w:t>
      </w:r>
      <w:r w:rsidR="00793474">
        <w:rPr>
          <w:rFonts w:cstheme="minorHAnsi"/>
        </w:rPr>
        <w:t>.</w:t>
      </w:r>
    </w:p>
    <w:p w14:paraId="5E593A71" w14:textId="77777777" w:rsidR="00D81479" w:rsidRPr="00140D94" w:rsidRDefault="00CA20F9" w:rsidP="00292FF2">
      <w:pPr>
        <w:jc w:val="both"/>
        <w:rPr>
          <w:rFonts w:cstheme="minorHAnsi"/>
        </w:rPr>
      </w:pPr>
      <w:r w:rsidRPr="00140D94">
        <w:rPr>
          <w:rFonts w:cstheme="minorHAnsi"/>
          <w:b/>
        </w:rPr>
        <w:t>3234</w:t>
      </w:r>
      <w:r w:rsidRPr="00140D94">
        <w:rPr>
          <w:rFonts w:cstheme="minorHAnsi"/>
        </w:rPr>
        <w:t xml:space="preserve"> –</w:t>
      </w:r>
      <w:r w:rsidR="004A7812" w:rsidRPr="00140D94">
        <w:rPr>
          <w:rFonts w:cstheme="minorHAnsi"/>
        </w:rPr>
        <w:t xml:space="preserve"> k</w:t>
      </w:r>
      <w:r w:rsidRPr="00140D94">
        <w:rPr>
          <w:rFonts w:cstheme="minorHAnsi"/>
        </w:rPr>
        <w:t>omunalne usluge</w:t>
      </w:r>
      <w:r w:rsidR="004A7812" w:rsidRPr="00140D94">
        <w:rPr>
          <w:rFonts w:cstheme="minorHAnsi"/>
        </w:rPr>
        <w:t>, iznosi su veći zbog puknuća i sanaciju dotrajalih vodovodnih cijevi</w:t>
      </w:r>
      <w:r w:rsidR="002C4EA3" w:rsidRPr="00140D94">
        <w:rPr>
          <w:rFonts w:cstheme="minorHAnsi"/>
        </w:rPr>
        <w:t>.</w:t>
      </w:r>
    </w:p>
    <w:p w14:paraId="3D28FA46" w14:textId="4BBDA4CE" w:rsidR="003102ED" w:rsidRDefault="004A7812" w:rsidP="003102ED">
      <w:pPr>
        <w:jc w:val="both"/>
        <w:rPr>
          <w:rFonts w:cstheme="minorHAnsi"/>
        </w:rPr>
      </w:pPr>
      <w:r w:rsidRPr="00140D94">
        <w:rPr>
          <w:rFonts w:cstheme="minorHAnsi"/>
          <w:b/>
        </w:rPr>
        <w:t>3237</w:t>
      </w:r>
      <w:r w:rsidRPr="00140D94">
        <w:rPr>
          <w:rFonts w:cstheme="minorHAnsi"/>
        </w:rPr>
        <w:t xml:space="preserve">- Intelektualne i osobne usluge, povećanje se odnosi na plaće za </w:t>
      </w:r>
      <w:r w:rsidR="003102ED" w:rsidRPr="003102ED">
        <w:rPr>
          <w:rFonts w:cstheme="minorHAnsi"/>
        </w:rPr>
        <w:t xml:space="preserve">članove tima helikopterske hitne </w:t>
      </w:r>
      <w:r w:rsidR="00D659C9">
        <w:rPr>
          <w:rFonts w:cstheme="minorHAnsi"/>
        </w:rPr>
        <w:t>medicinske službe koje je NZHMGZ</w:t>
      </w:r>
      <w:r w:rsidR="003102ED" w:rsidRPr="003102ED">
        <w:rPr>
          <w:rFonts w:cstheme="minorHAnsi"/>
        </w:rPr>
        <w:t xml:space="preserve"> po prvi puta ugovorio s Hrvatskim zavodom za zdravstveno osiguranje.</w:t>
      </w:r>
      <w:r w:rsidR="00D659C9">
        <w:rPr>
          <w:rFonts w:cstheme="minorHAnsi"/>
        </w:rPr>
        <w:t xml:space="preserve"> </w:t>
      </w:r>
      <w:r w:rsidR="003102ED" w:rsidRPr="003102ED">
        <w:rPr>
          <w:rFonts w:cstheme="minorHAnsi"/>
        </w:rPr>
        <w:t>Naime, nova Odluka o donošenju Mreže hitne medicine i sanitetskog prijevoza (“Narodne novine“, broj 134/2023.) predvidjela je za Grad Zagreb tri tima helikopterske hitne medicinske službe.</w:t>
      </w:r>
    </w:p>
    <w:p w14:paraId="1DCD0942" w14:textId="2129833D" w:rsidR="004A7812" w:rsidRPr="00140D94" w:rsidRDefault="003102ED" w:rsidP="003102ED">
      <w:pPr>
        <w:jc w:val="both"/>
        <w:rPr>
          <w:rFonts w:cstheme="minorHAnsi"/>
        </w:rPr>
      </w:pPr>
      <w:r w:rsidRPr="003102ED">
        <w:rPr>
          <w:rFonts w:cstheme="minorHAnsi"/>
          <w:b/>
        </w:rPr>
        <w:t>3238</w:t>
      </w:r>
      <w:r>
        <w:rPr>
          <w:rFonts w:cstheme="minorHAnsi"/>
        </w:rPr>
        <w:t xml:space="preserve"> - </w:t>
      </w:r>
      <w:r w:rsidR="004A7812" w:rsidRPr="003102ED">
        <w:rPr>
          <w:rFonts w:cstheme="minorHAnsi"/>
        </w:rPr>
        <w:t xml:space="preserve">na poziciji računalne usluge </w:t>
      </w:r>
      <w:r w:rsidR="002C4EA3" w:rsidRPr="003102ED">
        <w:rPr>
          <w:rFonts w:cstheme="minorHAnsi"/>
        </w:rPr>
        <w:t>bilježi se (indeks promjene 165,1%</w:t>
      </w:r>
      <w:r w:rsidR="00A01CFC" w:rsidRPr="003102ED">
        <w:rPr>
          <w:rFonts w:cstheme="minorHAnsi"/>
        </w:rPr>
        <w:t xml:space="preserve">) a odnosi </w:t>
      </w:r>
      <w:r w:rsidR="00D659C9">
        <w:rPr>
          <w:rFonts w:cstheme="minorHAnsi"/>
        </w:rPr>
        <w:t>se na u</w:t>
      </w:r>
      <w:r w:rsidRPr="003102ED">
        <w:rPr>
          <w:rFonts w:cstheme="minorHAnsi"/>
        </w:rPr>
        <w:t>sluga uspostave, integracije i održavanja virtualne jezgrene i lokalne infrastrukture poslovnog IT sustava NZHMGZ-a, s uključenim sigurnosnim i upravljačko-nadzornim centrom. Usluga održavanja aplikativnih platformi eHitna i MS Dynamics Navision poslovnog IT sustava NZHMGZ-a</w:t>
      </w:r>
      <w:r w:rsidR="00D659C9">
        <w:rPr>
          <w:rFonts w:cstheme="minorHAnsi"/>
        </w:rPr>
        <w:t>.</w:t>
      </w:r>
    </w:p>
    <w:p w14:paraId="5DE8DE66" w14:textId="1BC1CA73" w:rsidR="0085791F" w:rsidRPr="00140D94" w:rsidRDefault="00A01CFC" w:rsidP="00292FF2">
      <w:pPr>
        <w:jc w:val="both"/>
        <w:rPr>
          <w:rFonts w:cstheme="minorHAnsi"/>
        </w:rPr>
      </w:pPr>
      <w:r w:rsidRPr="00140D94">
        <w:rPr>
          <w:rFonts w:cstheme="minorHAnsi"/>
          <w:b/>
        </w:rPr>
        <w:t>3433</w:t>
      </w:r>
      <w:r w:rsidRPr="00140D94">
        <w:rPr>
          <w:rFonts w:cstheme="minorHAnsi"/>
        </w:rPr>
        <w:t xml:space="preserve"> – zatezne kamate povećale su se za 16.070, 56 eura u odnosu na prošlu godinu zbog neplaćanja računa </w:t>
      </w:r>
      <w:r w:rsidR="00613674" w:rsidRPr="00140D94">
        <w:rPr>
          <w:rFonts w:cstheme="minorHAnsi"/>
        </w:rPr>
        <w:t xml:space="preserve">koji su </w:t>
      </w:r>
      <w:r w:rsidRPr="00140D94">
        <w:rPr>
          <w:rFonts w:cstheme="minorHAnsi"/>
        </w:rPr>
        <w:t>u dospijeću (</w:t>
      </w:r>
      <w:r w:rsidR="003102ED">
        <w:t>a koje je dospjele, a nepodmirene obveze, Grad Zagreb kao Osnivač koji solidarno i neograničeno odgovara za dugovanja ustanova čiji je vlasnik, podmirivao na ime sredstava osiguranih u Proračunu).</w:t>
      </w:r>
    </w:p>
    <w:p w14:paraId="20F4F376" w14:textId="6371A8E7" w:rsidR="00303A93" w:rsidRDefault="001E56D3" w:rsidP="00292FF2">
      <w:pPr>
        <w:jc w:val="both"/>
        <w:rPr>
          <w:rFonts w:cstheme="minorHAnsi"/>
          <w:b/>
        </w:rPr>
      </w:pPr>
      <w:r w:rsidRPr="00140D94">
        <w:rPr>
          <w:rFonts w:cstheme="minorHAnsi"/>
          <w:b/>
        </w:rPr>
        <w:t>4222</w:t>
      </w:r>
      <w:r w:rsidRPr="00140D94">
        <w:rPr>
          <w:rFonts w:cstheme="minorHAnsi"/>
        </w:rPr>
        <w:t xml:space="preserve"> – komunikacijska oprema</w:t>
      </w:r>
      <w:r w:rsidR="00D71D2F" w:rsidRPr="00140D94">
        <w:rPr>
          <w:rFonts w:cstheme="minorHAnsi"/>
        </w:rPr>
        <w:t xml:space="preserve">, kupljeno je 30 </w:t>
      </w:r>
      <w:r w:rsidR="00D659C9">
        <w:t>r</w:t>
      </w:r>
      <w:r w:rsidR="00303A93">
        <w:t>adio st</w:t>
      </w:r>
      <w:r w:rsidR="00D659C9">
        <w:t>anica.</w:t>
      </w:r>
      <w:r w:rsidR="00303A93" w:rsidRPr="00140D94">
        <w:rPr>
          <w:rFonts w:cstheme="minorHAnsi"/>
          <w:b/>
        </w:rPr>
        <w:t xml:space="preserve"> </w:t>
      </w:r>
    </w:p>
    <w:p w14:paraId="6E1E091B" w14:textId="01EDF5A2" w:rsidR="00D81479" w:rsidRPr="00140D94" w:rsidRDefault="0085791F" w:rsidP="00292FF2">
      <w:pPr>
        <w:jc w:val="both"/>
        <w:rPr>
          <w:rFonts w:cstheme="minorHAnsi"/>
        </w:rPr>
      </w:pPr>
      <w:r w:rsidRPr="00140D94">
        <w:rPr>
          <w:rFonts w:cstheme="minorHAnsi"/>
          <w:b/>
        </w:rPr>
        <w:t>4223</w:t>
      </w:r>
      <w:r w:rsidRPr="00140D94">
        <w:rPr>
          <w:rFonts w:cstheme="minorHAnsi"/>
        </w:rPr>
        <w:t xml:space="preserve"> – oprema za održavanje i zaštitu, kupljene nove</w:t>
      </w:r>
      <w:r w:rsidR="002A381B" w:rsidRPr="00140D94">
        <w:rPr>
          <w:rFonts w:cstheme="minorHAnsi"/>
        </w:rPr>
        <w:t xml:space="preserve"> zaštitne kacige sa svjetiljkom</w:t>
      </w:r>
      <w:r w:rsidR="00793474">
        <w:rPr>
          <w:rFonts w:cstheme="minorHAnsi"/>
        </w:rPr>
        <w:t>.</w:t>
      </w:r>
    </w:p>
    <w:p w14:paraId="11504F24" w14:textId="53CDE40D" w:rsidR="00672A44" w:rsidRPr="00140D94" w:rsidRDefault="00672A44" w:rsidP="00292FF2">
      <w:pPr>
        <w:jc w:val="both"/>
        <w:rPr>
          <w:rFonts w:cstheme="minorHAnsi"/>
        </w:rPr>
      </w:pPr>
      <w:r w:rsidRPr="00140D94">
        <w:rPr>
          <w:rFonts w:cstheme="minorHAnsi"/>
          <w:b/>
        </w:rPr>
        <w:t>4224</w:t>
      </w:r>
      <w:r w:rsidRPr="00140D94">
        <w:rPr>
          <w:rFonts w:cstheme="minorHAnsi"/>
        </w:rPr>
        <w:t xml:space="preserve"> – medicinska i laboratorijska oprema bilježi povećanje (266,5%)</w:t>
      </w:r>
      <w:r w:rsidR="00793474">
        <w:rPr>
          <w:rFonts w:cstheme="minorHAnsi"/>
        </w:rPr>
        <w:t>,</w:t>
      </w:r>
      <w:r w:rsidRPr="00140D94">
        <w:rPr>
          <w:rFonts w:cstheme="minorHAnsi"/>
        </w:rPr>
        <w:t xml:space="preserve"> a odnosi se na osam novih električnih kardio stolaca, dva defibrilatora,</w:t>
      </w:r>
      <w:r w:rsidR="00303A93" w:rsidRPr="00303A93">
        <w:t xml:space="preserve"> </w:t>
      </w:r>
      <w:r w:rsidR="00303A93">
        <w:rPr>
          <w:rFonts w:cstheme="minorHAnsi"/>
        </w:rPr>
        <w:t>b</w:t>
      </w:r>
      <w:r w:rsidR="00303A93" w:rsidRPr="00303A93">
        <w:rPr>
          <w:rFonts w:cstheme="minorHAnsi"/>
        </w:rPr>
        <w:t>ežični ručni ultrazvuk</w:t>
      </w:r>
      <w:r w:rsidRPr="00303A93">
        <w:rPr>
          <w:rFonts w:cstheme="minorHAnsi"/>
        </w:rPr>
        <w:t xml:space="preserve"> </w:t>
      </w:r>
      <w:r w:rsidRPr="00140D94">
        <w:rPr>
          <w:rFonts w:cstheme="minorHAnsi"/>
        </w:rPr>
        <w:t>i ostala oprema</w:t>
      </w:r>
      <w:r w:rsidR="00793474">
        <w:rPr>
          <w:rFonts w:cstheme="minorHAnsi"/>
        </w:rPr>
        <w:t>.</w:t>
      </w:r>
    </w:p>
    <w:p w14:paraId="50F8D525" w14:textId="7D1A4839" w:rsidR="00FD5CF4" w:rsidRPr="00140D94" w:rsidRDefault="00FD5CF4" w:rsidP="00292FF2">
      <w:pPr>
        <w:jc w:val="both"/>
        <w:rPr>
          <w:rFonts w:cstheme="minorHAnsi"/>
        </w:rPr>
      </w:pPr>
      <w:r w:rsidRPr="00140D94">
        <w:rPr>
          <w:rFonts w:cstheme="minorHAnsi"/>
          <w:b/>
        </w:rPr>
        <w:t>4227</w:t>
      </w:r>
      <w:r w:rsidRPr="00140D94">
        <w:rPr>
          <w:rFonts w:cstheme="minorHAnsi"/>
        </w:rPr>
        <w:t xml:space="preserve"> – uređaji, strojevi i oprema za ostale namjene bilježi povećanje (136,1%) koje se najvećim djelom odnosi na nabavu </w:t>
      </w:r>
      <w:r w:rsidR="00D659C9">
        <w:rPr>
          <w:rFonts w:cstheme="minorHAnsi"/>
        </w:rPr>
        <w:t>h</w:t>
      </w:r>
      <w:r w:rsidR="00303A93" w:rsidRPr="00303A93">
        <w:rPr>
          <w:rFonts w:cstheme="minorHAnsi"/>
        </w:rPr>
        <w:t>idraulične dizalice za automehaničarsku radionicu</w:t>
      </w:r>
      <w:r w:rsidR="00D659C9">
        <w:rPr>
          <w:rFonts w:cstheme="minorHAnsi"/>
        </w:rPr>
        <w:t xml:space="preserve"> u sklopu tehničke službe NZHMGZ</w:t>
      </w:r>
      <w:r w:rsidRPr="00140D94">
        <w:rPr>
          <w:rFonts w:cstheme="minorHAnsi"/>
        </w:rPr>
        <w:t>, dva projektora te fotokopirani uređaj</w:t>
      </w:r>
      <w:r w:rsidR="00793474">
        <w:rPr>
          <w:rFonts w:cstheme="minorHAnsi"/>
        </w:rPr>
        <w:t>.</w:t>
      </w:r>
    </w:p>
    <w:p w14:paraId="7515C7B3" w14:textId="77777777" w:rsidR="00950EE0" w:rsidRPr="00140D94" w:rsidRDefault="00292FF2" w:rsidP="00950EE0">
      <w:pPr>
        <w:jc w:val="both"/>
        <w:rPr>
          <w:rFonts w:cstheme="minorHAnsi"/>
        </w:rPr>
      </w:pPr>
      <w:r w:rsidRPr="00140D94">
        <w:rPr>
          <w:rFonts w:cstheme="minorHAnsi"/>
          <w:b/>
        </w:rPr>
        <w:t>4231</w:t>
      </w:r>
      <w:r w:rsidR="00672A44" w:rsidRPr="00140D94">
        <w:rPr>
          <w:rFonts w:cstheme="minorHAnsi"/>
          <w:b/>
        </w:rPr>
        <w:t xml:space="preserve"> - </w:t>
      </w:r>
      <w:r w:rsidR="00950EE0" w:rsidRPr="00140D94">
        <w:rPr>
          <w:rFonts w:cstheme="minorHAnsi"/>
        </w:rPr>
        <w:t xml:space="preserve">prijevozna sredstva, </w:t>
      </w:r>
      <w:r w:rsidRPr="00140D94">
        <w:rPr>
          <w:rFonts w:cstheme="minorHAnsi"/>
        </w:rPr>
        <w:t xml:space="preserve">nabavljeno 19 vozila </w:t>
      </w:r>
      <w:r w:rsidR="0085791F" w:rsidRPr="00140D94">
        <w:rPr>
          <w:rFonts w:cstheme="minorHAnsi"/>
        </w:rPr>
        <w:t>za sanitetski prijevoz</w:t>
      </w:r>
      <w:r w:rsidR="00950EE0" w:rsidRPr="00140D94">
        <w:rPr>
          <w:rFonts w:cstheme="minorHAnsi"/>
        </w:rPr>
        <w:t xml:space="preserve"> i ugradnja potrebnim postoljima, nosilima i fiksatorima za nosila</w:t>
      </w:r>
      <w:r w:rsidR="00793474">
        <w:rPr>
          <w:rFonts w:cstheme="minorHAnsi"/>
        </w:rPr>
        <w:t>.</w:t>
      </w:r>
    </w:p>
    <w:p w14:paraId="5F9B275F" w14:textId="77777777" w:rsidR="00B87B1A" w:rsidRPr="00140D94" w:rsidRDefault="00B87B1A" w:rsidP="00B87B1A">
      <w:pPr>
        <w:jc w:val="both"/>
        <w:rPr>
          <w:rFonts w:cstheme="minorHAnsi"/>
        </w:rPr>
      </w:pPr>
    </w:p>
    <w:p w14:paraId="5E423F67" w14:textId="77777777" w:rsidR="00913DA8" w:rsidRPr="00140D94" w:rsidRDefault="00B87B1A" w:rsidP="00EC3030">
      <w:pPr>
        <w:jc w:val="both"/>
        <w:rPr>
          <w:rFonts w:cstheme="minorHAnsi"/>
        </w:rPr>
      </w:pPr>
      <w:r w:rsidRPr="00140D94">
        <w:rPr>
          <w:rFonts w:cstheme="minorHAnsi"/>
        </w:rPr>
        <w:t xml:space="preserve"> </w:t>
      </w:r>
    </w:p>
    <w:p w14:paraId="2E872EBB" w14:textId="77777777" w:rsidR="00EC3030" w:rsidRPr="00140D94" w:rsidRDefault="00EC3030" w:rsidP="00EC3030">
      <w:pPr>
        <w:jc w:val="center"/>
        <w:rPr>
          <w:rFonts w:cstheme="minorHAnsi"/>
        </w:rPr>
      </w:pPr>
      <w:r w:rsidRPr="00140D94">
        <w:rPr>
          <w:rFonts w:cstheme="minorHAnsi"/>
        </w:rPr>
        <w:t>2. BILJEŠKE</w:t>
      </w:r>
    </w:p>
    <w:p w14:paraId="13188D62" w14:textId="77777777" w:rsidR="00EC3030" w:rsidRPr="00140D94" w:rsidRDefault="00EC3030" w:rsidP="00EC3030">
      <w:pPr>
        <w:jc w:val="center"/>
        <w:rPr>
          <w:rFonts w:cstheme="minorHAnsi"/>
        </w:rPr>
      </w:pPr>
      <w:r w:rsidRPr="00140D94">
        <w:rPr>
          <w:rFonts w:cstheme="minorHAnsi"/>
        </w:rPr>
        <w:t xml:space="preserve"> BILJEŠKE UZ BILANCU</w:t>
      </w:r>
    </w:p>
    <w:p w14:paraId="2FF4AD16" w14:textId="77777777" w:rsidR="000E6D93" w:rsidRPr="00140D94" w:rsidRDefault="000E6D93" w:rsidP="003672AE">
      <w:pPr>
        <w:jc w:val="both"/>
        <w:rPr>
          <w:rFonts w:cstheme="minorHAnsi"/>
        </w:rPr>
      </w:pPr>
    </w:p>
    <w:p w14:paraId="58A0FF94" w14:textId="77777777" w:rsidR="000E6D93" w:rsidRPr="00140D94" w:rsidRDefault="000E6D93" w:rsidP="000E6D93">
      <w:pPr>
        <w:jc w:val="both"/>
        <w:rPr>
          <w:rFonts w:cstheme="minorHAnsi"/>
        </w:rPr>
      </w:pPr>
      <w:r w:rsidRPr="00140D94">
        <w:rPr>
          <w:rFonts w:cstheme="minorHAnsi"/>
        </w:rPr>
        <w:t>U odnosu na stanje početkom razdoblja ukupna imovina povećana je za 873.261,15 eura (B001). Nefinancijska imovina povećana je za 83</w:t>
      </w:r>
      <w:r w:rsidR="009A24D3" w:rsidRPr="00140D94">
        <w:rPr>
          <w:rFonts w:cstheme="minorHAnsi"/>
        </w:rPr>
        <w:t>3</w:t>
      </w:r>
      <w:r w:rsidRPr="00140D94">
        <w:rPr>
          <w:rFonts w:cstheme="minorHAnsi"/>
        </w:rPr>
        <w:t>.554,42 eura (B002) te financijska imovina povećana za 39</w:t>
      </w:r>
      <w:r w:rsidR="009A24D3" w:rsidRPr="00140D94">
        <w:rPr>
          <w:rFonts w:cstheme="minorHAnsi"/>
        </w:rPr>
        <w:t>.</w:t>
      </w:r>
      <w:r w:rsidRPr="00140D94">
        <w:rPr>
          <w:rFonts w:cstheme="minorHAnsi"/>
        </w:rPr>
        <w:t>706,73</w:t>
      </w:r>
      <w:r w:rsidR="00BE4FA2" w:rsidRPr="00140D94">
        <w:rPr>
          <w:rFonts w:cstheme="minorHAnsi"/>
        </w:rPr>
        <w:t xml:space="preserve"> eura (šifra 1).</w:t>
      </w:r>
    </w:p>
    <w:p w14:paraId="3379C1C2" w14:textId="77777777" w:rsidR="00C90842" w:rsidRPr="00140D94" w:rsidRDefault="00C90842" w:rsidP="000E6D93">
      <w:pPr>
        <w:jc w:val="both"/>
        <w:rPr>
          <w:rFonts w:cstheme="minorHAnsi"/>
        </w:rPr>
      </w:pPr>
    </w:p>
    <w:p w14:paraId="610B0604" w14:textId="77777777" w:rsidR="00C90842" w:rsidRPr="00140D94" w:rsidRDefault="00C90842" w:rsidP="000E6D93">
      <w:pPr>
        <w:jc w:val="both"/>
        <w:rPr>
          <w:rFonts w:cstheme="minorHAnsi"/>
        </w:rPr>
      </w:pPr>
      <w:r w:rsidRPr="00140D94">
        <w:rPr>
          <w:rFonts w:cstheme="minorHAnsi"/>
        </w:rPr>
        <w:t>Od ulaganja u nefinancijsku imovinu u 2024. godini možemo izdvojiti:</w:t>
      </w:r>
    </w:p>
    <w:p w14:paraId="7EF2BFC9" w14:textId="77777777" w:rsidR="00C90842" w:rsidRPr="00140D94" w:rsidRDefault="00C90842" w:rsidP="00C90842">
      <w:pPr>
        <w:pStyle w:val="Odlomakpopisa"/>
        <w:numPr>
          <w:ilvl w:val="0"/>
          <w:numId w:val="22"/>
        </w:numPr>
        <w:jc w:val="both"/>
        <w:rPr>
          <w:rFonts w:cstheme="minorHAnsi"/>
        </w:rPr>
      </w:pPr>
      <w:r w:rsidRPr="00140D94">
        <w:rPr>
          <w:rFonts w:cstheme="minorHAnsi"/>
        </w:rPr>
        <w:t xml:space="preserve">0222 - komunikacijsku opremu                                             </w:t>
      </w:r>
    </w:p>
    <w:p w14:paraId="41B47748" w14:textId="77777777" w:rsidR="00C90842" w:rsidRPr="00140D94" w:rsidRDefault="00C90842" w:rsidP="00C90842">
      <w:pPr>
        <w:pStyle w:val="Odlomakpopisa"/>
        <w:numPr>
          <w:ilvl w:val="0"/>
          <w:numId w:val="22"/>
        </w:numPr>
        <w:jc w:val="both"/>
        <w:rPr>
          <w:rFonts w:cstheme="minorHAnsi"/>
        </w:rPr>
      </w:pPr>
      <w:r w:rsidRPr="00140D94">
        <w:rPr>
          <w:rFonts w:cstheme="minorHAnsi"/>
        </w:rPr>
        <w:t xml:space="preserve">0227 - uređaji, strojevi i oprema za ostale namjene         </w:t>
      </w:r>
    </w:p>
    <w:p w14:paraId="4350E956" w14:textId="77777777" w:rsidR="00C90842" w:rsidRPr="00140D94" w:rsidRDefault="00C90842" w:rsidP="0072605C">
      <w:pPr>
        <w:pStyle w:val="Odlomakpopisa"/>
        <w:numPr>
          <w:ilvl w:val="0"/>
          <w:numId w:val="22"/>
        </w:numPr>
        <w:jc w:val="both"/>
        <w:rPr>
          <w:rFonts w:cstheme="minorHAnsi"/>
        </w:rPr>
      </w:pPr>
      <w:r w:rsidRPr="00140D94">
        <w:rPr>
          <w:rFonts w:cstheme="minorHAnsi"/>
        </w:rPr>
        <w:t xml:space="preserve">0231 – prijevozna sredstva u prometu                                 </w:t>
      </w:r>
    </w:p>
    <w:p w14:paraId="12145C77" w14:textId="77777777" w:rsidR="000E6D93" w:rsidRPr="00140D94" w:rsidRDefault="000E6D93" w:rsidP="000E6D93">
      <w:pPr>
        <w:jc w:val="both"/>
        <w:rPr>
          <w:rFonts w:cstheme="minorHAnsi"/>
        </w:rPr>
      </w:pPr>
    </w:p>
    <w:p w14:paraId="322BFB00" w14:textId="77777777" w:rsidR="00BE4FA2" w:rsidRPr="00140D94" w:rsidRDefault="000E6D93" w:rsidP="00BE4FA2">
      <w:pPr>
        <w:jc w:val="both"/>
        <w:rPr>
          <w:rFonts w:cstheme="minorHAnsi"/>
        </w:rPr>
      </w:pPr>
      <w:r w:rsidRPr="00140D94">
        <w:rPr>
          <w:rFonts w:cstheme="minorHAnsi"/>
        </w:rPr>
        <w:t xml:space="preserve">Ispravak vrijednosti (amortizacija), izvršen je po propisanim stopama, sa stanjem na dan 31. prosinca </w:t>
      </w:r>
      <w:r w:rsidR="00BE4FA2" w:rsidRPr="00140D94">
        <w:rPr>
          <w:rFonts w:cstheme="minorHAnsi"/>
        </w:rPr>
        <w:t>2024</w:t>
      </w:r>
      <w:r w:rsidR="00972704">
        <w:rPr>
          <w:rFonts w:cstheme="minorHAnsi"/>
        </w:rPr>
        <w:t xml:space="preserve"> godine</w:t>
      </w:r>
      <w:r w:rsidRPr="00140D94">
        <w:rPr>
          <w:rFonts w:cstheme="minorHAnsi"/>
        </w:rPr>
        <w:t xml:space="preserve">. </w:t>
      </w:r>
      <w:r w:rsidR="00BE4FA2" w:rsidRPr="00140D94">
        <w:rPr>
          <w:rFonts w:cstheme="minorHAnsi"/>
        </w:rPr>
        <w:t xml:space="preserve">Time je vrijednost imovine umanjena za </w:t>
      </w:r>
      <w:r w:rsidR="0054752A" w:rsidRPr="00140D94">
        <w:rPr>
          <w:rFonts w:cstheme="minorHAnsi"/>
        </w:rPr>
        <w:t>921.502,79 eura.</w:t>
      </w:r>
    </w:p>
    <w:p w14:paraId="5C490A90" w14:textId="77777777" w:rsidR="000E6D93" w:rsidRPr="00140D94" w:rsidRDefault="000E6D93" w:rsidP="000E6D93">
      <w:pPr>
        <w:jc w:val="both"/>
        <w:rPr>
          <w:rFonts w:cstheme="minorHAnsi"/>
        </w:rPr>
      </w:pPr>
    </w:p>
    <w:p w14:paraId="79270ECD" w14:textId="77777777" w:rsidR="000E6D93" w:rsidRPr="00140D94" w:rsidRDefault="0088412B" w:rsidP="000E6D93">
      <w:pPr>
        <w:jc w:val="both"/>
        <w:rPr>
          <w:rFonts w:cstheme="minorHAnsi"/>
        </w:rPr>
      </w:pPr>
      <w:r w:rsidRPr="00140D94">
        <w:rPr>
          <w:rFonts w:cstheme="minorHAnsi"/>
        </w:rPr>
        <w:t>Sredstva angažirana u zalihama za obavljanje djelatnosti podjednaka su u odnosu na godinu ranije (06), a radi se o zalihama lijekova, sanitetskog i medicinskog potrošnog materijala.</w:t>
      </w:r>
    </w:p>
    <w:p w14:paraId="6A6FBC2A" w14:textId="77777777" w:rsidR="00A177F5" w:rsidRDefault="00A177F5" w:rsidP="00A177F5">
      <w:pPr>
        <w:jc w:val="both"/>
        <w:rPr>
          <w:rFonts w:cstheme="minorHAnsi"/>
          <w:b/>
        </w:rPr>
      </w:pPr>
    </w:p>
    <w:p w14:paraId="5B929476" w14:textId="77777777" w:rsidR="0088412B" w:rsidRPr="00A177F5" w:rsidRDefault="00A177F5" w:rsidP="000E6D93">
      <w:pPr>
        <w:jc w:val="both"/>
        <w:rPr>
          <w:rFonts w:cstheme="minorHAnsi"/>
          <w:b/>
        </w:rPr>
      </w:pPr>
      <w:r w:rsidRPr="00140D94">
        <w:rPr>
          <w:rFonts w:cstheme="minorHAnsi"/>
          <w:b/>
        </w:rPr>
        <w:t>Odstupanja</w:t>
      </w:r>
      <w:r>
        <w:rPr>
          <w:rFonts w:cstheme="minorHAnsi"/>
          <w:b/>
        </w:rPr>
        <w:t xml:space="preserve"> na kontima</w:t>
      </w:r>
      <w:r w:rsidRPr="00140D94">
        <w:rPr>
          <w:rFonts w:cstheme="minorHAnsi"/>
          <w:b/>
        </w:rPr>
        <w:t>:</w:t>
      </w:r>
    </w:p>
    <w:p w14:paraId="215660B7" w14:textId="77777777" w:rsidR="0088412B" w:rsidRPr="00140D94" w:rsidRDefault="0088412B" w:rsidP="0088412B">
      <w:pPr>
        <w:jc w:val="both"/>
        <w:rPr>
          <w:rFonts w:cstheme="minorHAnsi"/>
        </w:rPr>
      </w:pPr>
      <w:r w:rsidRPr="00140D94">
        <w:rPr>
          <w:rFonts w:cstheme="minorHAnsi"/>
          <w:b/>
        </w:rPr>
        <w:t>11</w:t>
      </w:r>
      <w:r w:rsidR="00C57401" w:rsidRPr="00140D94">
        <w:rPr>
          <w:rFonts w:cstheme="minorHAnsi"/>
          <w:b/>
        </w:rPr>
        <w:t xml:space="preserve"> - </w:t>
      </w:r>
      <w:r w:rsidR="00C57401" w:rsidRPr="00140D94">
        <w:rPr>
          <w:rFonts w:cstheme="minorHAnsi"/>
        </w:rPr>
        <w:t xml:space="preserve"> n</w:t>
      </w:r>
      <w:r w:rsidRPr="00140D94">
        <w:rPr>
          <w:rFonts w:cstheme="minorHAnsi"/>
        </w:rPr>
        <w:t>ovac u</w:t>
      </w:r>
      <w:r w:rsidR="005D25B6">
        <w:rPr>
          <w:rFonts w:cstheme="minorHAnsi"/>
        </w:rPr>
        <w:t xml:space="preserve"> banci i blagajni NZHMGZ</w:t>
      </w:r>
      <w:r w:rsidRPr="00140D94">
        <w:rPr>
          <w:rFonts w:cstheme="minorHAnsi"/>
        </w:rPr>
        <w:t xml:space="preserve"> bilježi pad sa 256.955,28 eura na 31.952,47 eura, što je posljedica trenda kretanja minimalnog salda na poslo</w:t>
      </w:r>
      <w:r w:rsidR="00C57401" w:rsidRPr="00140D94">
        <w:rPr>
          <w:rFonts w:cstheme="minorHAnsi"/>
        </w:rPr>
        <w:t>vnom računu u zadnje 2-3 godine</w:t>
      </w:r>
      <w:r w:rsidR="005D25B6">
        <w:rPr>
          <w:rFonts w:cstheme="minorHAnsi"/>
        </w:rPr>
        <w:t>.</w:t>
      </w:r>
    </w:p>
    <w:p w14:paraId="09C90AE6" w14:textId="77777777" w:rsidR="0088412B" w:rsidRPr="00140D94" w:rsidRDefault="0088412B" w:rsidP="0088412B">
      <w:pPr>
        <w:jc w:val="both"/>
        <w:rPr>
          <w:rFonts w:cstheme="minorHAnsi"/>
        </w:rPr>
      </w:pPr>
      <w:r w:rsidRPr="00140D94">
        <w:rPr>
          <w:rFonts w:cstheme="minorHAnsi"/>
          <w:b/>
        </w:rPr>
        <w:lastRenderedPageBreak/>
        <w:t>2</w:t>
      </w:r>
      <w:r w:rsidR="00C57401" w:rsidRPr="00140D94">
        <w:rPr>
          <w:rFonts w:cstheme="minorHAnsi"/>
          <w:b/>
        </w:rPr>
        <w:t>31</w:t>
      </w:r>
      <w:r w:rsidRPr="00140D94">
        <w:rPr>
          <w:rFonts w:cstheme="minorHAnsi"/>
        </w:rPr>
        <w:t xml:space="preserve"> </w:t>
      </w:r>
      <w:r w:rsidR="005D25B6">
        <w:rPr>
          <w:rFonts w:cstheme="minorHAnsi"/>
        </w:rPr>
        <w:t>–</w:t>
      </w:r>
      <w:r w:rsidR="00C57401" w:rsidRPr="00140D94">
        <w:rPr>
          <w:rFonts w:cstheme="minorHAnsi"/>
        </w:rPr>
        <w:t xml:space="preserve"> </w:t>
      </w:r>
      <w:r w:rsidR="005D25B6">
        <w:rPr>
          <w:rFonts w:cstheme="minorHAnsi"/>
        </w:rPr>
        <w:t xml:space="preserve">na kontu </w:t>
      </w:r>
      <w:r w:rsidR="00C57401" w:rsidRPr="00140D94">
        <w:rPr>
          <w:rFonts w:cstheme="minorHAnsi"/>
        </w:rPr>
        <w:t>o</w:t>
      </w:r>
      <w:r w:rsidRPr="00140D94">
        <w:rPr>
          <w:rFonts w:cstheme="minorHAnsi"/>
        </w:rPr>
        <w:t>bveze bilježi se povećanje za obveze zaposlenika zbog nove Uredbe o koeficijentima.</w:t>
      </w:r>
    </w:p>
    <w:p w14:paraId="00B3D8CC" w14:textId="77777777" w:rsidR="00C57401" w:rsidRPr="00140D94" w:rsidRDefault="00C57401" w:rsidP="0088412B">
      <w:pPr>
        <w:jc w:val="both"/>
        <w:rPr>
          <w:rFonts w:cstheme="minorHAnsi"/>
        </w:rPr>
      </w:pPr>
      <w:r w:rsidRPr="00140D94">
        <w:rPr>
          <w:rFonts w:cstheme="minorHAnsi"/>
          <w:b/>
        </w:rPr>
        <w:t>2343</w:t>
      </w:r>
      <w:r w:rsidRPr="00140D94">
        <w:rPr>
          <w:rFonts w:cstheme="minorHAnsi"/>
        </w:rPr>
        <w:t xml:space="preserve"> – obveze za ostale financijske rashode, odnose se za nepraćene račune </w:t>
      </w:r>
      <w:r w:rsidR="005D25B6">
        <w:rPr>
          <w:rFonts w:cstheme="minorHAnsi"/>
        </w:rPr>
        <w:t>koji su u dospijeću.</w:t>
      </w:r>
    </w:p>
    <w:p w14:paraId="0E90C947" w14:textId="77777777" w:rsidR="0088412B" w:rsidRPr="00140D94" w:rsidRDefault="0088412B" w:rsidP="0088412B">
      <w:pPr>
        <w:jc w:val="both"/>
        <w:rPr>
          <w:rFonts w:cstheme="minorHAnsi"/>
        </w:rPr>
      </w:pPr>
      <w:r w:rsidRPr="00140D94">
        <w:rPr>
          <w:rFonts w:cstheme="minorHAnsi"/>
          <w:b/>
        </w:rPr>
        <w:t>96</w:t>
      </w:r>
      <w:r w:rsidR="005D25B6">
        <w:rPr>
          <w:rFonts w:cstheme="minorHAnsi"/>
        </w:rPr>
        <w:t xml:space="preserve"> - </w:t>
      </w:r>
      <w:r w:rsidR="00C57401" w:rsidRPr="00140D94">
        <w:rPr>
          <w:rFonts w:cstheme="minorHAnsi"/>
        </w:rPr>
        <w:t xml:space="preserve"> </w:t>
      </w:r>
      <w:r w:rsidR="005D25B6">
        <w:rPr>
          <w:rFonts w:cstheme="minorHAnsi"/>
        </w:rPr>
        <w:t>o</w:t>
      </w:r>
      <w:r w:rsidRPr="00140D94">
        <w:rPr>
          <w:rFonts w:cstheme="minorHAnsi"/>
        </w:rPr>
        <w:t xml:space="preserve">bračunati prihodi poslovanja </w:t>
      </w:r>
      <w:r w:rsidR="005D25B6">
        <w:rPr>
          <w:rFonts w:cstheme="minorHAnsi"/>
        </w:rPr>
        <w:t>NZHMGZ</w:t>
      </w:r>
      <w:r w:rsidR="0041114E" w:rsidRPr="00140D94">
        <w:rPr>
          <w:rFonts w:cstheme="minorHAnsi"/>
        </w:rPr>
        <w:t xml:space="preserve"> bilježi povećanje</w:t>
      </w:r>
      <w:r w:rsidR="005D25B6">
        <w:rPr>
          <w:rFonts w:cstheme="minorHAnsi"/>
        </w:rPr>
        <w:t>,</w:t>
      </w:r>
      <w:r w:rsidR="0041114E" w:rsidRPr="00140D94">
        <w:rPr>
          <w:rFonts w:cstheme="minorHAnsi"/>
        </w:rPr>
        <w:t xml:space="preserve"> a odnosi se </w:t>
      </w:r>
      <w:r w:rsidRPr="00140D94">
        <w:rPr>
          <w:rFonts w:cstheme="minorHAnsi"/>
        </w:rPr>
        <w:t>najvećim dijelom na obračunate</w:t>
      </w:r>
      <w:r w:rsidR="00C57401" w:rsidRPr="00140D94">
        <w:rPr>
          <w:rFonts w:cstheme="minorHAnsi"/>
        </w:rPr>
        <w:t xml:space="preserve"> prihode od HZZO-a za </w:t>
      </w:r>
      <w:r w:rsidR="005D25B6">
        <w:rPr>
          <w:rFonts w:cstheme="minorHAnsi"/>
        </w:rPr>
        <w:t xml:space="preserve">ugovorenu </w:t>
      </w:r>
      <w:r w:rsidR="00C57401" w:rsidRPr="00140D94">
        <w:rPr>
          <w:rFonts w:cstheme="minorHAnsi"/>
        </w:rPr>
        <w:t>glavarinu</w:t>
      </w:r>
      <w:r w:rsidR="005D25B6">
        <w:rPr>
          <w:rFonts w:cstheme="minorHAnsi"/>
        </w:rPr>
        <w:t>.</w:t>
      </w:r>
      <w:r w:rsidRPr="00140D94">
        <w:rPr>
          <w:rFonts w:cstheme="minorHAnsi"/>
        </w:rPr>
        <w:t xml:space="preserve"> </w:t>
      </w:r>
    </w:p>
    <w:p w14:paraId="638660FD" w14:textId="77777777" w:rsidR="0041114E" w:rsidRPr="00140D94" w:rsidRDefault="0088412B" w:rsidP="0088412B">
      <w:pPr>
        <w:jc w:val="both"/>
        <w:rPr>
          <w:rFonts w:cstheme="minorHAnsi"/>
        </w:rPr>
      </w:pPr>
      <w:r w:rsidRPr="00140D94">
        <w:rPr>
          <w:rFonts w:cstheme="minorHAnsi"/>
          <w:b/>
        </w:rPr>
        <w:t>16</w:t>
      </w:r>
      <w:r w:rsidRPr="00140D94">
        <w:rPr>
          <w:rFonts w:cstheme="minorHAnsi"/>
        </w:rPr>
        <w:t xml:space="preserve"> </w:t>
      </w:r>
      <w:r w:rsidR="00C57401" w:rsidRPr="00140D94">
        <w:rPr>
          <w:rFonts w:cstheme="minorHAnsi"/>
        </w:rPr>
        <w:t xml:space="preserve"> - dio 16 N </w:t>
      </w:r>
      <w:r w:rsidR="0041114E" w:rsidRPr="00140D94">
        <w:rPr>
          <w:rFonts w:cstheme="minorHAnsi"/>
        </w:rPr>
        <w:t xml:space="preserve">povećana su za 302.166,59 </w:t>
      </w:r>
      <w:r w:rsidR="00672979" w:rsidRPr="00140D94">
        <w:rPr>
          <w:rFonts w:cstheme="minorHAnsi"/>
        </w:rPr>
        <w:t>eura</w:t>
      </w:r>
      <w:r w:rsidRPr="00140D94">
        <w:rPr>
          <w:rFonts w:cstheme="minorHAnsi"/>
        </w:rPr>
        <w:t xml:space="preserve"> </w:t>
      </w:r>
      <w:r w:rsidR="0041114E" w:rsidRPr="00140D94">
        <w:rPr>
          <w:rFonts w:cstheme="minorHAnsi"/>
        </w:rPr>
        <w:t xml:space="preserve">u odnosu na prošlu godinu a odnose se najvećim dijelom potraživanja </w:t>
      </w:r>
      <w:r w:rsidR="00C57401" w:rsidRPr="00140D94">
        <w:rPr>
          <w:rFonts w:cstheme="minorHAnsi"/>
        </w:rPr>
        <w:t>od HZZO-a</w:t>
      </w:r>
      <w:r w:rsidR="005D25B6">
        <w:rPr>
          <w:rFonts w:cstheme="minorHAnsi"/>
        </w:rPr>
        <w:t>.</w:t>
      </w:r>
    </w:p>
    <w:p w14:paraId="3543B818" w14:textId="77777777" w:rsidR="0088412B" w:rsidRPr="00140D94" w:rsidRDefault="0088412B" w:rsidP="000E6D93">
      <w:pPr>
        <w:jc w:val="both"/>
        <w:rPr>
          <w:rFonts w:cstheme="minorHAnsi"/>
        </w:rPr>
      </w:pPr>
      <w:r w:rsidRPr="00140D94">
        <w:rPr>
          <w:rFonts w:cstheme="minorHAnsi"/>
          <w:b/>
        </w:rPr>
        <w:t>23</w:t>
      </w:r>
      <w:r w:rsidR="00C57401" w:rsidRPr="00140D94">
        <w:rPr>
          <w:rFonts w:cstheme="minorHAnsi"/>
          <w:b/>
        </w:rPr>
        <w:t xml:space="preserve"> </w:t>
      </w:r>
      <w:r w:rsidR="005D25B6">
        <w:rPr>
          <w:rFonts w:cstheme="minorHAnsi"/>
          <w:b/>
        </w:rPr>
        <w:t>–</w:t>
      </w:r>
      <w:r w:rsidR="00C57401" w:rsidRPr="00140D94">
        <w:rPr>
          <w:rFonts w:cstheme="minorHAnsi"/>
          <w:b/>
        </w:rPr>
        <w:t xml:space="preserve"> </w:t>
      </w:r>
      <w:r w:rsidR="005D25B6">
        <w:rPr>
          <w:rFonts w:cstheme="minorHAnsi"/>
          <w:b/>
        </w:rPr>
        <w:t xml:space="preserve">dio 23D </w:t>
      </w:r>
      <w:r w:rsidR="00C57401" w:rsidRPr="00140D94">
        <w:rPr>
          <w:rFonts w:cstheme="minorHAnsi"/>
        </w:rPr>
        <w:t>o</w:t>
      </w:r>
      <w:r w:rsidRPr="00140D94">
        <w:rPr>
          <w:rFonts w:cstheme="minorHAnsi"/>
        </w:rPr>
        <w:t xml:space="preserve">bveza za rashode poslovanja-dospjele </w:t>
      </w:r>
      <w:r w:rsidR="0041114E" w:rsidRPr="00140D94">
        <w:rPr>
          <w:rFonts w:cstheme="minorHAnsi"/>
        </w:rPr>
        <w:t>bilježi se</w:t>
      </w:r>
      <w:r w:rsidR="00C05BF3" w:rsidRPr="00140D94">
        <w:rPr>
          <w:rFonts w:cstheme="minorHAnsi"/>
        </w:rPr>
        <w:t xml:space="preserve"> iznos od 161.215,</w:t>
      </w:r>
      <w:r w:rsidR="00672979" w:rsidRPr="00140D94">
        <w:rPr>
          <w:rFonts w:cstheme="minorHAnsi"/>
        </w:rPr>
        <w:t>24 eura</w:t>
      </w:r>
      <w:r w:rsidR="0041114E" w:rsidRPr="00140D94">
        <w:rPr>
          <w:rFonts w:cstheme="minorHAnsi"/>
        </w:rPr>
        <w:t xml:space="preserve"> a odnosi se na račune dobavljača koji </w:t>
      </w:r>
      <w:r w:rsidR="0032361D" w:rsidRPr="00140D94">
        <w:rPr>
          <w:rFonts w:cstheme="minorHAnsi"/>
        </w:rPr>
        <w:t xml:space="preserve">će </w:t>
      </w:r>
      <w:r w:rsidR="0041114E" w:rsidRPr="00140D94">
        <w:rPr>
          <w:rFonts w:cstheme="minorHAnsi"/>
        </w:rPr>
        <w:t xml:space="preserve">se sufinancirati prema odlukama </w:t>
      </w:r>
      <w:r w:rsidR="0032361D" w:rsidRPr="00140D94">
        <w:rPr>
          <w:rFonts w:cstheme="minorHAnsi"/>
        </w:rPr>
        <w:t>o</w:t>
      </w:r>
      <w:r w:rsidRPr="00140D94">
        <w:rPr>
          <w:rFonts w:cstheme="minorHAnsi"/>
        </w:rPr>
        <w:t xml:space="preserve"> namj</w:t>
      </w:r>
      <w:r w:rsidR="00C57401" w:rsidRPr="00140D94">
        <w:rPr>
          <w:rFonts w:cstheme="minorHAnsi"/>
        </w:rPr>
        <w:t>enskoj pomoći</w:t>
      </w:r>
      <w:r w:rsidR="005D25B6">
        <w:rPr>
          <w:rFonts w:cstheme="minorHAnsi"/>
        </w:rPr>
        <w:t>.</w:t>
      </w:r>
    </w:p>
    <w:p w14:paraId="01FA3B5A" w14:textId="77777777" w:rsidR="00C57401" w:rsidRPr="00140D94" w:rsidRDefault="00C57401" w:rsidP="000E6D93">
      <w:pPr>
        <w:jc w:val="both"/>
        <w:rPr>
          <w:rFonts w:cstheme="minorHAnsi"/>
        </w:rPr>
      </w:pPr>
      <w:r w:rsidRPr="00140D94">
        <w:rPr>
          <w:rFonts w:cstheme="minorHAnsi"/>
          <w:b/>
        </w:rPr>
        <w:t xml:space="preserve">23951 </w:t>
      </w:r>
      <w:r w:rsidRPr="00140D94">
        <w:rPr>
          <w:rFonts w:cstheme="minorHAnsi"/>
        </w:rPr>
        <w:t>-  obveze za predujmovi najvećim djelom se odnosi na predujmove za dežurstva</w:t>
      </w:r>
      <w:r w:rsidR="00E84BD8">
        <w:rPr>
          <w:rFonts w:cstheme="minorHAnsi"/>
        </w:rPr>
        <w:t>.</w:t>
      </w:r>
    </w:p>
    <w:p w14:paraId="77C39BDF" w14:textId="77777777" w:rsidR="000E6D93" w:rsidRPr="00140D94" w:rsidRDefault="000E6D93" w:rsidP="000E6D93">
      <w:pPr>
        <w:jc w:val="both"/>
        <w:rPr>
          <w:rFonts w:cstheme="minorHAnsi"/>
        </w:rPr>
      </w:pPr>
    </w:p>
    <w:p w14:paraId="74A9E64E" w14:textId="4CC9DE72" w:rsidR="009270A6" w:rsidRDefault="000E6D93" w:rsidP="003672AE">
      <w:pPr>
        <w:jc w:val="both"/>
        <w:rPr>
          <w:rFonts w:cstheme="minorHAnsi"/>
          <w:b/>
        </w:rPr>
      </w:pPr>
      <w:r w:rsidRPr="00140D94">
        <w:rPr>
          <w:rFonts w:cstheme="minorHAnsi"/>
          <w:b/>
        </w:rPr>
        <w:t xml:space="preserve">Iskazani manjak prihoda (922) od </w:t>
      </w:r>
      <w:r w:rsidR="0032361D" w:rsidRPr="00140D94">
        <w:rPr>
          <w:rFonts w:cstheme="minorHAnsi"/>
          <w:b/>
        </w:rPr>
        <w:t>1.860.760,58</w:t>
      </w:r>
      <w:r w:rsidRPr="00140D94">
        <w:rPr>
          <w:rFonts w:cstheme="minorHAnsi"/>
          <w:b/>
        </w:rPr>
        <w:t xml:space="preserve"> </w:t>
      </w:r>
      <w:r w:rsidR="00672979" w:rsidRPr="00140D94">
        <w:rPr>
          <w:rFonts w:cstheme="minorHAnsi"/>
          <w:b/>
        </w:rPr>
        <w:t xml:space="preserve">eura </w:t>
      </w:r>
      <w:r w:rsidRPr="00140D94">
        <w:rPr>
          <w:rFonts w:cstheme="minorHAnsi"/>
        </w:rPr>
        <w:t xml:space="preserve">sastoji se od manjka prihoda poslovanja </w:t>
      </w:r>
      <w:r w:rsidR="0032361D" w:rsidRPr="00140D94">
        <w:rPr>
          <w:rFonts w:cstheme="minorHAnsi"/>
          <w:b/>
        </w:rPr>
        <w:t xml:space="preserve">857.781,32 </w:t>
      </w:r>
      <w:r w:rsidR="00672979" w:rsidRPr="00140D94">
        <w:rPr>
          <w:rFonts w:cstheme="minorHAnsi"/>
          <w:b/>
        </w:rPr>
        <w:t xml:space="preserve">eura </w:t>
      </w:r>
      <w:r w:rsidRPr="00140D94">
        <w:rPr>
          <w:rFonts w:cstheme="minorHAnsi"/>
        </w:rPr>
        <w:t>(pre</w:t>
      </w:r>
      <w:r w:rsidR="0032361D" w:rsidRPr="00140D94">
        <w:rPr>
          <w:rFonts w:cstheme="minorHAnsi"/>
        </w:rPr>
        <w:t xml:space="preserve">neseni manjak iz prošle godine 417.430,64 </w:t>
      </w:r>
      <w:r w:rsidR="00672979" w:rsidRPr="00140D94">
        <w:rPr>
          <w:rFonts w:cstheme="minorHAnsi"/>
        </w:rPr>
        <w:t>eura</w:t>
      </w:r>
      <w:r w:rsidRPr="00140D94">
        <w:rPr>
          <w:rFonts w:cstheme="minorHAnsi"/>
        </w:rPr>
        <w:t xml:space="preserve"> i manjka tekuće godine u iznosu</w:t>
      </w:r>
      <w:r w:rsidR="00102844" w:rsidRPr="00140D94">
        <w:rPr>
          <w:rFonts w:cstheme="minorHAnsi"/>
        </w:rPr>
        <w:t xml:space="preserve"> </w:t>
      </w:r>
      <w:r w:rsidRPr="00140D94">
        <w:rPr>
          <w:rFonts w:cstheme="minorHAnsi"/>
        </w:rPr>
        <w:t>od</w:t>
      </w:r>
      <w:r w:rsidR="0032361D" w:rsidRPr="00140D94">
        <w:rPr>
          <w:rFonts w:cstheme="minorHAnsi"/>
        </w:rPr>
        <w:t xml:space="preserve"> 440.350,68</w:t>
      </w:r>
      <w:r w:rsidR="00672979" w:rsidRPr="00140D94">
        <w:rPr>
          <w:rFonts w:cstheme="minorHAnsi"/>
        </w:rPr>
        <w:t xml:space="preserve"> eura</w:t>
      </w:r>
      <w:r w:rsidRPr="00140D94">
        <w:rPr>
          <w:rFonts w:cstheme="minorHAnsi"/>
        </w:rPr>
        <w:t xml:space="preserve">), manjka prihoda od nefinancijske imovine u iznosu od </w:t>
      </w:r>
      <w:r w:rsidR="0032361D" w:rsidRPr="00140D94">
        <w:rPr>
          <w:rFonts w:cstheme="minorHAnsi"/>
          <w:b/>
        </w:rPr>
        <w:t>95.752,50</w:t>
      </w:r>
      <w:r w:rsidR="0032361D" w:rsidRPr="00140D94">
        <w:rPr>
          <w:rFonts w:cstheme="minorHAnsi"/>
        </w:rPr>
        <w:t xml:space="preserve"> </w:t>
      </w:r>
      <w:r w:rsidR="0032361D" w:rsidRPr="00140D94">
        <w:rPr>
          <w:rFonts w:cstheme="minorHAnsi"/>
          <w:b/>
        </w:rPr>
        <w:t>eura</w:t>
      </w:r>
      <w:r w:rsidR="0032361D" w:rsidRPr="00140D94">
        <w:rPr>
          <w:rFonts w:cstheme="minorHAnsi"/>
        </w:rPr>
        <w:t xml:space="preserve"> te manjak primitaka od financijske imovine u iznosu od </w:t>
      </w:r>
      <w:r w:rsidR="0032361D" w:rsidRPr="00140D94">
        <w:rPr>
          <w:rFonts w:cstheme="minorHAnsi"/>
          <w:b/>
        </w:rPr>
        <w:t>907.226,76</w:t>
      </w:r>
      <w:r w:rsidR="00140D94">
        <w:rPr>
          <w:rFonts w:cstheme="minorHAnsi"/>
          <w:b/>
        </w:rPr>
        <w:t xml:space="preserve"> eura.</w:t>
      </w:r>
    </w:p>
    <w:p w14:paraId="34F546B5" w14:textId="77777777" w:rsidR="009270A6" w:rsidRPr="00140D94" w:rsidRDefault="009270A6" w:rsidP="003672AE">
      <w:pPr>
        <w:jc w:val="both"/>
        <w:rPr>
          <w:rFonts w:cstheme="minorHAnsi"/>
          <w:b/>
        </w:rPr>
      </w:pPr>
    </w:p>
    <w:p w14:paraId="40A657B5" w14:textId="77777777" w:rsidR="00BA38CA" w:rsidRPr="00140D94" w:rsidRDefault="00CB7477" w:rsidP="00A57173">
      <w:pPr>
        <w:pStyle w:val="Odlomakpopisa"/>
        <w:numPr>
          <w:ilvl w:val="0"/>
          <w:numId w:val="24"/>
        </w:numPr>
        <w:jc w:val="both"/>
        <w:rPr>
          <w:rFonts w:cstheme="minorHAnsi"/>
        </w:rPr>
      </w:pPr>
      <w:r w:rsidRPr="00140D94">
        <w:rPr>
          <w:rFonts w:cstheme="minorHAnsi"/>
        </w:rPr>
        <w:t xml:space="preserve">Na </w:t>
      </w:r>
      <w:r w:rsidR="009270A6">
        <w:rPr>
          <w:rFonts w:cstheme="minorHAnsi"/>
        </w:rPr>
        <w:t>izvan</w:t>
      </w:r>
      <w:r w:rsidR="00102844" w:rsidRPr="00140D94">
        <w:rPr>
          <w:rFonts w:cstheme="minorHAnsi"/>
        </w:rPr>
        <w:t>bilančnim</w:t>
      </w:r>
      <w:r w:rsidRPr="00140D94">
        <w:rPr>
          <w:rFonts w:cstheme="minorHAnsi"/>
        </w:rPr>
        <w:t xml:space="preserve"> zapisima vode se potencijalne obveze po osnovi sudskih sporova u tijeku 2024. godine u vrijednosti od</w:t>
      </w:r>
      <w:r w:rsidR="00102844" w:rsidRPr="00140D94">
        <w:rPr>
          <w:rFonts w:cstheme="minorHAnsi"/>
        </w:rPr>
        <w:t xml:space="preserve"> 493.226,81 euro</w:t>
      </w:r>
      <w:r w:rsidRPr="00140D94">
        <w:rPr>
          <w:rFonts w:cstheme="minorHAnsi"/>
        </w:rPr>
        <w:t>. U nastavku slijedi popis:</w:t>
      </w:r>
    </w:p>
    <w:tbl>
      <w:tblPr>
        <w:tblpPr w:leftFromText="180" w:rightFromText="180" w:vertAnchor="text" w:horzAnchor="margin" w:tblpX="-73" w:tblpY="54"/>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417"/>
        <w:gridCol w:w="1418"/>
        <w:gridCol w:w="4348"/>
        <w:gridCol w:w="1605"/>
      </w:tblGrid>
      <w:tr w:rsidR="00BA38CA" w:rsidRPr="00140D94" w14:paraId="35078558" w14:textId="77777777" w:rsidTr="00F13941">
        <w:trPr>
          <w:trHeight w:val="678"/>
        </w:trPr>
        <w:tc>
          <w:tcPr>
            <w:tcW w:w="836" w:type="dxa"/>
            <w:tcBorders>
              <w:top w:val="double" w:sz="4" w:space="0" w:color="auto"/>
              <w:left w:val="double" w:sz="4" w:space="0" w:color="auto"/>
              <w:bottom w:val="double" w:sz="4" w:space="0" w:color="auto"/>
              <w:right w:val="double" w:sz="4" w:space="0" w:color="auto"/>
            </w:tcBorders>
            <w:shd w:val="clear" w:color="auto" w:fill="BFBFBF"/>
            <w:vAlign w:val="center"/>
          </w:tcPr>
          <w:p w14:paraId="487F9F4F" w14:textId="77777777" w:rsidR="00BA38CA" w:rsidRPr="00140D94" w:rsidRDefault="00BA38CA" w:rsidP="004D4E10">
            <w:pPr>
              <w:keepNext/>
              <w:keepLines/>
              <w:spacing w:before="40"/>
              <w:jc w:val="center"/>
              <w:outlineLvl w:val="2"/>
              <w:rPr>
                <w:rFonts w:cstheme="minorHAnsi"/>
              </w:rPr>
            </w:pPr>
            <w:r w:rsidRPr="00140D94">
              <w:rPr>
                <w:rFonts w:cstheme="minorHAnsi"/>
              </w:rPr>
              <w:t>Br</w:t>
            </w:r>
          </w:p>
        </w:tc>
        <w:tc>
          <w:tcPr>
            <w:tcW w:w="1417" w:type="dxa"/>
            <w:tcBorders>
              <w:top w:val="double" w:sz="4" w:space="0" w:color="auto"/>
              <w:left w:val="double" w:sz="4" w:space="0" w:color="auto"/>
              <w:bottom w:val="double" w:sz="4" w:space="0" w:color="auto"/>
              <w:right w:val="double" w:sz="4" w:space="0" w:color="auto"/>
            </w:tcBorders>
            <w:shd w:val="clear" w:color="auto" w:fill="BFBFBF"/>
            <w:vAlign w:val="center"/>
          </w:tcPr>
          <w:p w14:paraId="630F6A65" w14:textId="77777777" w:rsidR="00BA38CA" w:rsidRPr="00140D94" w:rsidRDefault="00BA38CA" w:rsidP="004D4E10">
            <w:pPr>
              <w:keepNext/>
              <w:keepLines/>
              <w:spacing w:before="40"/>
              <w:jc w:val="center"/>
              <w:outlineLvl w:val="2"/>
              <w:rPr>
                <w:rFonts w:cstheme="minorHAnsi"/>
              </w:rPr>
            </w:pPr>
            <w:r w:rsidRPr="00140D94">
              <w:rPr>
                <w:rFonts w:cstheme="minorHAnsi"/>
              </w:rPr>
              <w:t>TUŽITELJ</w:t>
            </w:r>
          </w:p>
        </w:tc>
        <w:tc>
          <w:tcPr>
            <w:tcW w:w="1418" w:type="dxa"/>
            <w:tcBorders>
              <w:top w:val="double" w:sz="4" w:space="0" w:color="auto"/>
              <w:left w:val="double" w:sz="4" w:space="0" w:color="auto"/>
              <w:bottom w:val="double" w:sz="4" w:space="0" w:color="auto"/>
              <w:right w:val="double" w:sz="4" w:space="0" w:color="auto"/>
            </w:tcBorders>
            <w:shd w:val="clear" w:color="auto" w:fill="BFBFBF"/>
            <w:vAlign w:val="center"/>
          </w:tcPr>
          <w:p w14:paraId="61719695" w14:textId="77777777" w:rsidR="00BA38CA" w:rsidRPr="00140D94" w:rsidRDefault="00F64DB4" w:rsidP="004D4E10">
            <w:pPr>
              <w:keepNext/>
              <w:keepLines/>
              <w:tabs>
                <w:tab w:val="left" w:pos="691"/>
              </w:tabs>
              <w:spacing w:before="40"/>
              <w:ind w:right="-243"/>
              <w:jc w:val="center"/>
              <w:outlineLvl w:val="2"/>
              <w:rPr>
                <w:rFonts w:cstheme="minorHAnsi"/>
              </w:rPr>
            </w:pPr>
            <w:r w:rsidRPr="00140D94">
              <w:rPr>
                <w:rFonts w:cstheme="minorHAnsi"/>
              </w:rPr>
              <w:t>TUŽBENI ZAHTJEV</w:t>
            </w:r>
          </w:p>
        </w:tc>
        <w:tc>
          <w:tcPr>
            <w:tcW w:w="4348" w:type="dxa"/>
            <w:tcBorders>
              <w:top w:val="double" w:sz="4" w:space="0" w:color="auto"/>
              <w:left w:val="double" w:sz="4" w:space="0" w:color="auto"/>
              <w:bottom w:val="double" w:sz="4" w:space="0" w:color="auto"/>
              <w:right w:val="double" w:sz="4" w:space="0" w:color="auto"/>
            </w:tcBorders>
            <w:shd w:val="clear" w:color="auto" w:fill="BFBFBF"/>
            <w:vAlign w:val="center"/>
          </w:tcPr>
          <w:p w14:paraId="5DAAAF90" w14:textId="77777777" w:rsidR="00BA38CA" w:rsidRPr="00140D94" w:rsidRDefault="00BA38CA" w:rsidP="004D4E10">
            <w:pPr>
              <w:keepNext/>
              <w:keepLines/>
              <w:spacing w:before="40"/>
              <w:jc w:val="center"/>
              <w:outlineLvl w:val="2"/>
              <w:rPr>
                <w:rFonts w:cstheme="minorHAnsi"/>
              </w:rPr>
            </w:pPr>
            <w:r w:rsidRPr="00140D94">
              <w:rPr>
                <w:rFonts w:cstheme="minorHAnsi"/>
              </w:rPr>
              <w:t>Opis predmeta</w:t>
            </w:r>
          </w:p>
        </w:tc>
        <w:tc>
          <w:tcPr>
            <w:tcW w:w="1605" w:type="dxa"/>
            <w:tcBorders>
              <w:top w:val="double" w:sz="4" w:space="0" w:color="auto"/>
              <w:left w:val="double" w:sz="4" w:space="0" w:color="auto"/>
              <w:bottom w:val="double" w:sz="4" w:space="0" w:color="auto"/>
              <w:right w:val="double" w:sz="4" w:space="0" w:color="auto"/>
            </w:tcBorders>
            <w:shd w:val="clear" w:color="auto" w:fill="BFBFBF"/>
            <w:vAlign w:val="center"/>
          </w:tcPr>
          <w:p w14:paraId="781E148E" w14:textId="77777777" w:rsidR="00BA38CA" w:rsidRPr="00140D94" w:rsidRDefault="00BA38CA" w:rsidP="004D4E10">
            <w:pPr>
              <w:keepNext/>
              <w:keepLines/>
              <w:spacing w:before="40"/>
              <w:jc w:val="center"/>
              <w:outlineLvl w:val="2"/>
              <w:rPr>
                <w:rFonts w:cstheme="minorHAnsi"/>
              </w:rPr>
            </w:pPr>
            <w:r w:rsidRPr="00140D94">
              <w:rPr>
                <w:rFonts w:cstheme="minorHAnsi"/>
              </w:rPr>
              <w:t>Zavod u sporu zastupa:</w:t>
            </w:r>
          </w:p>
        </w:tc>
      </w:tr>
      <w:tr w:rsidR="00BA38CA" w:rsidRPr="00140D94" w14:paraId="6F3AE060" w14:textId="77777777" w:rsidTr="00F13941">
        <w:trPr>
          <w:trHeight w:val="832"/>
        </w:trPr>
        <w:tc>
          <w:tcPr>
            <w:tcW w:w="836" w:type="dxa"/>
            <w:shd w:val="clear" w:color="auto" w:fill="FFFFFF" w:themeFill="background1"/>
            <w:vAlign w:val="center"/>
          </w:tcPr>
          <w:p w14:paraId="7C936140" w14:textId="77777777" w:rsidR="00BA38CA" w:rsidRPr="00140D94" w:rsidRDefault="00BA38CA" w:rsidP="00FB2774">
            <w:pPr>
              <w:keepNext/>
              <w:keepLines/>
              <w:numPr>
                <w:ilvl w:val="0"/>
                <w:numId w:val="7"/>
              </w:numPr>
              <w:spacing w:before="40"/>
              <w:jc w:val="center"/>
              <w:outlineLvl w:val="2"/>
              <w:rPr>
                <w:rFonts w:cstheme="minorHAnsi"/>
              </w:rPr>
            </w:pPr>
          </w:p>
        </w:tc>
        <w:tc>
          <w:tcPr>
            <w:tcW w:w="1417" w:type="dxa"/>
            <w:shd w:val="clear" w:color="auto" w:fill="FFFFFF" w:themeFill="background1"/>
            <w:vAlign w:val="center"/>
          </w:tcPr>
          <w:p w14:paraId="3D06BDC0" w14:textId="77777777" w:rsidR="00BA38CA" w:rsidRPr="00140D94" w:rsidRDefault="00BA38CA" w:rsidP="00F64DB4">
            <w:pPr>
              <w:keepNext/>
              <w:keepLines/>
              <w:spacing w:before="40"/>
              <w:jc w:val="center"/>
              <w:outlineLvl w:val="2"/>
              <w:rPr>
                <w:rFonts w:cstheme="minorHAnsi"/>
              </w:rPr>
            </w:pPr>
            <w:r w:rsidRPr="00140D94">
              <w:rPr>
                <w:rFonts w:cstheme="minorHAnsi"/>
              </w:rPr>
              <w:t>M. S.</w:t>
            </w:r>
          </w:p>
          <w:p w14:paraId="46AA3F00" w14:textId="77777777" w:rsidR="00BA38CA" w:rsidRPr="00140D94" w:rsidRDefault="00BA38CA" w:rsidP="00F64DB4">
            <w:pPr>
              <w:keepNext/>
              <w:keepLines/>
              <w:spacing w:before="40"/>
              <w:jc w:val="center"/>
              <w:outlineLvl w:val="2"/>
              <w:rPr>
                <w:rFonts w:cstheme="minorHAnsi"/>
              </w:rPr>
            </w:pPr>
            <w:r w:rsidRPr="00140D94">
              <w:rPr>
                <w:rFonts w:cstheme="minorHAnsi"/>
              </w:rPr>
              <w:t>Pr-7592/2020</w:t>
            </w:r>
          </w:p>
        </w:tc>
        <w:tc>
          <w:tcPr>
            <w:tcW w:w="1418" w:type="dxa"/>
            <w:shd w:val="clear" w:color="auto" w:fill="FFFFFF" w:themeFill="background1"/>
            <w:vAlign w:val="center"/>
          </w:tcPr>
          <w:p w14:paraId="0C3FAB16" w14:textId="77777777" w:rsidR="00FB2774" w:rsidRPr="00140D94" w:rsidRDefault="00BA38CA" w:rsidP="00F64DB4">
            <w:pPr>
              <w:keepNext/>
              <w:keepLines/>
              <w:spacing w:before="40"/>
              <w:jc w:val="center"/>
              <w:outlineLvl w:val="2"/>
              <w:rPr>
                <w:rFonts w:cstheme="minorHAnsi"/>
              </w:rPr>
            </w:pPr>
            <w:r w:rsidRPr="00140D94">
              <w:rPr>
                <w:rFonts w:cstheme="minorHAnsi"/>
              </w:rPr>
              <w:t>2.919,90</w:t>
            </w:r>
          </w:p>
          <w:p w14:paraId="0193146F" w14:textId="77777777" w:rsidR="00BA38CA" w:rsidRPr="00140D94" w:rsidRDefault="00BA38CA" w:rsidP="00F64DB4">
            <w:pPr>
              <w:keepNext/>
              <w:keepLines/>
              <w:spacing w:before="40"/>
              <w:jc w:val="center"/>
              <w:outlineLvl w:val="2"/>
              <w:rPr>
                <w:rFonts w:cstheme="minorHAnsi"/>
              </w:rPr>
            </w:pPr>
            <w:r w:rsidRPr="00140D94">
              <w:rPr>
                <w:rFonts w:cstheme="minorHAnsi"/>
              </w:rPr>
              <w:t xml:space="preserve"> EUR</w:t>
            </w:r>
          </w:p>
        </w:tc>
        <w:tc>
          <w:tcPr>
            <w:tcW w:w="4348" w:type="dxa"/>
            <w:shd w:val="clear" w:color="auto" w:fill="FFFFFF" w:themeFill="background1"/>
            <w:vAlign w:val="center"/>
          </w:tcPr>
          <w:p w14:paraId="02838499" w14:textId="77777777" w:rsidR="00BA38CA" w:rsidRPr="00140D94" w:rsidRDefault="00BA38CA" w:rsidP="00F64DB4">
            <w:pPr>
              <w:keepNext/>
              <w:keepLines/>
              <w:numPr>
                <w:ilvl w:val="0"/>
                <w:numId w:val="11"/>
              </w:numPr>
              <w:spacing w:before="40"/>
              <w:outlineLvl w:val="2"/>
              <w:rPr>
                <w:rFonts w:cstheme="minorHAnsi"/>
              </w:rPr>
            </w:pPr>
            <w:r w:rsidRPr="00140D94">
              <w:rPr>
                <w:rFonts w:cstheme="minorHAnsi"/>
              </w:rPr>
              <w:t>naknada štete – ozljeda na radu 2019.</w:t>
            </w:r>
          </w:p>
          <w:p w14:paraId="0A82A3C0" w14:textId="77777777" w:rsidR="005114B5" w:rsidRPr="00140D94" w:rsidRDefault="00BA38CA" w:rsidP="00F64DB4">
            <w:pPr>
              <w:keepNext/>
              <w:keepLines/>
              <w:numPr>
                <w:ilvl w:val="0"/>
                <w:numId w:val="11"/>
              </w:numPr>
              <w:spacing w:before="40"/>
              <w:outlineLvl w:val="2"/>
              <w:rPr>
                <w:rFonts w:cstheme="minorHAnsi"/>
              </w:rPr>
            </w:pPr>
            <w:r w:rsidRPr="00140D94">
              <w:rPr>
                <w:rFonts w:cstheme="minorHAnsi"/>
              </w:rPr>
              <w:t>I. tuženik: ADRIATIC OSIGURANJE dioničko društvo</w:t>
            </w:r>
          </w:p>
        </w:tc>
        <w:tc>
          <w:tcPr>
            <w:tcW w:w="1605" w:type="dxa"/>
            <w:shd w:val="clear" w:color="auto" w:fill="FFFFFF" w:themeFill="background1"/>
            <w:vAlign w:val="center"/>
          </w:tcPr>
          <w:p w14:paraId="50D0A446" w14:textId="77777777" w:rsidR="00BA38CA" w:rsidRPr="00140D94" w:rsidRDefault="00BA38CA" w:rsidP="00F64DB4">
            <w:pPr>
              <w:keepNext/>
              <w:keepLines/>
              <w:spacing w:before="40"/>
              <w:outlineLvl w:val="2"/>
              <w:rPr>
                <w:rFonts w:eastAsiaTheme="majorEastAsia" w:cstheme="minorHAnsi"/>
                <w:color w:val="1F4D78" w:themeColor="accent1" w:themeShade="7F"/>
              </w:rPr>
            </w:pPr>
            <w:r w:rsidRPr="00140D94">
              <w:rPr>
                <w:rFonts w:cstheme="minorHAnsi"/>
              </w:rPr>
              <w:t>samostalno</w:t>
            </w:r>
          </w:p>
        </w:tc>
      </w:tr>
      <w:tr w:rsidR="00BA38CA" w:rsidRPr="00140D94" w14:paraId="2458C580" w14:textId="77777777" w:rsidTr="00F13941">
        <w:trPr>
          <w:trHeight w:val="1606"/>
        </w:trPr>
        <w:tc>
          <w:tcPr>
            <w:tcW w:w="836" w:type="dxa"/>
            <w:shd w:val="clear" w:color="auto" w:fill="FFFFFF" w:themeFill="background1"/>
            <w:vAlign w:val="center"/>
          </w:tcPr>
          <w:p w14:paraId="40BEA688" w14:textId="77777777" w:rsidR="00BA38CA" w:rsidRPr="00140D94" w:rsidRDefault="00BA38CA" w:rsidP="00F13941">
            <w:pPr>
              <w:keepNext/>
              <w:keepLines/>
              <w:numPr>
                <w:ilvl w:val="0"/>
                <w:numId w:val="7"/>
              </w:numPr>
              <w:spacing w:before="40"/>
              <w:ind w:left="22" w:hanging="22"/>
              <w:jc w:val="center"/>
              <w:outlineLvl w:val="2"/>
              <w:rPr>
                <w:rFonts w:cstheme="minorHAnsi"/>
              </w:rPr>
            </w:pPr>
          </w:p>
        </w:tc>
        <w:tc>
          <w:tcPr>
            <w:tcW w:w="1417" w:type="dxa"/>
            <w:shd w:val="clear" w:color="auto" w:fill="FFFFFF" w:themeFill="background1"/>
            <w:vAlign w:val="center"/>
          </w:tcPr>
          <w:p w14:paraId="6D07795C" w14:textId="77777777" w:rsidR="00BA38CA" w:rsidRPr="00140D94" w:rsidRDefault="00BA38CA" w:rsidP="00F64DB4">
            <w:pPr>
              <w:keepNext/>
              <w:keepLines/>
              <w:spacing w:before="40"/>
              <w:jc w:val="center"/>
              <w:outlineLvl w:val="2"/>
              <w:rPr>
                <w:rFonts w:cstheme="minorHAnsi"/>
              </w:rPr>
            </w:pPr>
            <w:r w:rsidRPr="00140D94">
              <w:rPr>
                <w:rFonts w:cstheme="minorHAnsi"/>
              </w:rPr>
              <w:t>Ž.L.</w:t>
            </w:r>
          </w:p>
          <w:p w14:paraId="52C7A2FA" w14:textId="77777777" w:rsidR="00BA38CA" w:rsidRPr="00140D94" w:rsidRDefault="00BA38CA" w:rsidP="00F64DB4">
            <w:pPr>
              <w:keepNext/>
              <w:keepLines/>
              <w:spacing w:before="40"/>
              <w:jc w:val="center"/>
              <w:outlineLvl w:val="2"/>
              <w:rPr>
                <w:rFonts w:cstheme="minorHAnsi"/>
              </w:rPr>
            </w:pPr>
            <w:r w:rsidRPr="00140D94">
              <w:rPr>
                <w:rFonts w:cstheme="minorHAnsi"/>
              </w:rPr>
              <w:t>Pn-2918/2021</w:t>
            </w:r>
          </w:p>
          <w:p w14:paraId="4FC421AB" w14:textId="77777777" w:rsidR="00BA38CA" w:rsidRPr="00140D94" w:rsidRDefault="00BA38CA" w:rsidP="00F64DB4">
            <w:pPr>
              <w:keepNext/>
              <w:keepLines/>
              <w:spacing w:before="40"/>
              <w:outlineLvl w:val="2"/>
              <w:rPr>
                <w:rFonts w:cstheme="minorHAnsi"/>
              </w:rPr>
            </w:pPr>
          </w:p>
        </w:tc>
        <w:tc>
          <w:tcPr>
            <w:tcW w:w="1418" w:type="dxa"/>
            <w:shd w:val="clear" w:color="auto" w:fill="FFFFFF" w:themeFill="background1"/>
            <w:vAlign w:val="center"/>
          </w:tcPr>
          <w:p w14:paraId="324C7696" w14:textId="77777777" w:rsidR="00FB2774" w:rsidRPr="00140D94" w:rsidRDefault="00BA38CA" w:rsidP="00F64DB4">
            <w:pPr>
              <w:keepNext/>
              <w:keepLines/>
              <w:spacing w:before="40"/>
              <w:jc w:val="center"/>
              <w:outlineLvl w:val="2"/>
              <w:rPr>
                <w:rFonts w:cstheme="minorHAnsi"/>
              </w:rPr>
            </w:pPr>
            <w:r w:rsidRPr="00140D94">
              <w:rPr>
                <w:rFonts w:cstheme="minorHAnsi"/>
              </w:rPr>
              <w:t>2.190</w:t>
            </w:r>
            <w:r w:rsidR="00FB2774" w:rsidRPr="00140D94">
              <w:rPr>
                <w:rFonts w:cstheme="minorHAnsi"/>
              </w:rPr>
              <w:t>,00</w:t>
            </w:r>
          </w:p>
          <w:p w14:paraId="3A6E2DB0" w14:textId="77777777" w:rsidR="00BA38CA" w:rsidRPr="00140D94" w:rsidRDefault="00BA38CA" w:rsidP="00F64DB4">
            <w:pPr>
              <w:keepNext/>
              <w:keepLines/>
              <w:spacing w:before="40"/>
              <w:jc w:val="center"/>
              <w:outlineLvl w:val="2"/>
              <w:rPr>
                <w:rFonts w:cstheme="minorHAnsi"/>
              </w:rPr>
            </w:pPr>
            <w:r w:rsidRPr="00140D94">
              <w:rPr>
                <w:rFonts w:cstheme="minorHAnsi"/>
              </w:rPr>
              <w:t xml:space="preserve"> EUR</w:t>
            </w:r>
          </w:p>
        </w:tc>
        <w:tc>
          <w:tcPr>
            <w:tcW w:w="4348" w:type="dxa"/>
            <w:shd w:val="clear" w:color="auto" w:fill="FFFFFF" w:themeFill="background1"/>
            <w:vAlign w:val="center"/>
          </w:tcPr>
          <w:p w14:paraId="2FDB8092" w14:textId="77777777" w:rsidR="00BA38CA" w:rsidRPr="00140D94" w:rsidRDefault="00BA38CA" w:rsidP="00F64DB4">
            <w:pPr>
              <w:keepNext/>
              <w:keepLines/>
              <w:numPr>
                <w:ilvl w:val="0"/>
                <w:numId w:val="11"/>
              </w:numPr>
              <w:spacing w:before="40"/>
              <w:outlineLvl w:val="2"/>
              <w:rPr>
                <w:rFonts w:cstheme="minorHAnsi"/>
              </w:rPr>
            </w:pPr>
            <w:r w:rsidRPr="00140D94">
              <w:rPr>
                <w:rFonts w:cstheme="minorHAnsi"/>
              </w:rPr>
              <w:t>naknada štete – ozljeda na radu 2019., tužba od 16. 11. 2024.</w:t>
            </w:r>
          </w:p>
          <w:p w14:paraId="12E02D65" w14:textId="77777777" w:rsidR="00BA38CA" w:rsidRPr="00140D94" w:rsidRDefault="00BA38CA" w:rsidP="00F64DB4">
            <w:pPr>
              <w:keepNext/>
              <w:keepLines/>
              <w:numPr>
                <w:ilvl w:val="0"/>
                <w:numId w:val="8"/>
              </w:numPr>
              <w:spacing w:before="40"/>
              <w:outlineLvl w:val="2"/>
              <w:rPr>
                <w:rFonts w:cstheme="minorHAnsi"/>
              </w:rPr>
            </w:pPr>
            <w:r w:rsidRPr="00140D94">
              <w:rPr>
                <w:rFonts w:cstheme="minorHAnsi"/>
              </w:rPr>
              <w:t>određeno da će po pravomoćnosti rješenja spis biti dostavljen Općinskom radnom sudu</w:t>
            </w:r>
          </w:p>
          <w:p w14:paraId="3D3A32B0" w14:textId="77777777" w:rsidR="00BA38CA" w:rsidRPr="00140D94" w:rsidRDefault="00BA38CA" w:rsidP="00F64DB4">
            <w:pPr>
              <w:keepNext/>
              <w:keepLines/>
              <w:numPr>
                <w:ilvl w:val="0"/>
                <w:numId w:val="8"/>
              </w:numPr>
              <w:spacing w:before="40"/>
              <w:outlineLvl w:val="2"/>
              <w:rPr>
                <w:rFonts w:cstheme="minorHAnsi"/>
              </w:rPr>
            </w:pPr>
            <w:r w:rsidRPr="00140D94">
              <w:rPr>
                <w:rFonts w:cstheme="minorHAnsi"/>
              </w:rPr>
              <w:t>Nema daljnje aktivnosti u ovom predmetu</w:t>
            </w:r>
          </w:p>
        </w:tc>
        <w:tc>
          <w:tcPr>
            <w:tcW w:w="1605" w:type="dxa"/>
            <w:shd w:val="clear" w:color="auto" w:fill="FFFFFF" w:themeFill="background1"/>
            <w:vAlign w:val="center"/>
          </w:tcPr>
          <w:p w14:paraId="7CB77036" w14:textId="77777777" w:rsidR="00BA38CA" w:rsidRPr="00140D94" w:rsidRDefault="00BA38CA" w:rsidP="00F64DB4">
            <w:pPr>
              <w:keepNext/>
              <w:keepLines/>
              <w:spacing w:before="40"/>
              <w:outlineLvl w:val="2"/>
              <w:rPr>
                <w:rFonts w:cstheme="minorHAnsi"/>
              </w:rPr>
            </w:pPr>
            <w:r w:rsidRPr="00140D94">
              <w:rPr>
                <w:rFonts w:cstheme="minorHAnsi"/>
              </w:rPr>
              <w:t>samostalno</w:t>
            </w:r>
          </w:p>
        </w:tc>
      </w:tr>
      <w:tr w:rsidR="00BA38CA" w:rsidRPr="00140D94" w14:paraId="2208875F" w14:textId="77777777" w:rsidTr="00F13941">
        <w:trPr>
          <w:trHeight w:val="1135"/>
        </w:trPr>
        <w:tc>
          <w:tcPr>
            <w:tcW w:w="836" w:type="dxa"/>
            <w:shd w:val="clear" w:color="auto" w:fill="FFFFFF" w:themeFill="background1"/>
            <w:vAlign w:val="center"/>
          </w:tcPr>
          <w:p w14:paraId="7C9D78F7" w14:textId="77777777" w:rsidR="00BA38CA" w:rsidRPr="00140D94" w:rsidRDefault="00BA38CA" w:rsidP="00FB2774">
            <w:pPr>
              <w:keepNext/>
              <w:keepLines/>
              <w:numPr>
                <w:ilvl w:val="0"/>
                <w:numId w:val="7"/>
              </w:numPr>
              <w:spacing w:before="40"/>
              <w:jc w:val="center"/>
              <w:outlineLvl w:val="2"/>
              <w:rPr>
                <w:rFonts w:cstheme="minorHAnsi"/>
              </w:rPr>
            </w:pPr>
          </w:p>
        </w:tc>
        <w:tc>
          <w:tcPr>
            <w:tcW w:w="1417" w:type="dxa"/>
            <w:shd w:val="clear" w:color="auto" w:fill="FFFFFF" w:themeFill="background1"/>
            <w:vAlign w:val="center"/>
          </w:tcPr>
          <w:p w14:paraId="4036A825" w14:textId="77777777" w:rsidR="00BA38CA" w:rsidRPr="00140D94" w:rsidRDefault="00BA38CA" w:rsidP="00FB2774">
            <w:pPr>
              <w:keepNext/>
              <w:keepLines/>
              <w:spacing w:before="40"/>
              <w:jc w:val="center"/>
              <w:outlineLvl w:val="2"/>
              <w:rPr>
                <w:rFonts w:cstheme="minorHAnsi"/>
              </w:rPr>
            </w:pPr>
            <w:r w:rsidRPr="00140D94">
              <w:rPr>
                <w:rFonts w:cstheme="minorHAnsi"/>
              </w:rPr>
              <w:t>6 tužbi</w:t>
            </w:r>
          </w:p>
        </w:tc>
        <w:tc>
          <w:tcPr>
            <w:tcW w:w="1418" w:type="dxa"/>
            <w:shd w:val="clear" w:color="auto" w:fill="FFFFFF" w:themeFill="background1"/>
            <w:vAlign w:val="center"/>
          </w:tcPr>
          <w:p w14:paraId="0BDD7C92" w14:textId="77777777" w:rsidR="00BA38CA" w:rsidRPr="00140D94" w:rsidRDefault="00F64DB4" w:rsidP="00F64DB4">
            <w:pPr>
              <w:keepNext/>
              <w:keepLines/>
              <w:spacing w:before="40"/>
              <w:jc w:val="center"/>
              <w:outlineLvl w:val="2"/>
              <w:rPr>
                <w:rFonts w:cstheme="minorHAnsi"/>
              </w:rPr>
            </w:pPr>
            <w:r w:rsidRPr="00140D94">
              <w:rPr>
                <w:rFonts w:cstheme="minorHAnsi"/>
              </w:rPr>
              <w:t>15.926,74 EURA</w:t>
            </w:r>
            <w:r w:rsidR="00BA38CA" w:rsidRPr="00140D94">
              <w:rPr>
                <w:rFonts w:cstheme="minorHAnsi"/>
              </w:rPr>
              <w:t xml:space="preserve"> (6*vps)</w:t>
            </w:r>
          </w:p>
        </w:tc>
        <w:tc>
          <w:tcPr>
            <w:tcW w:w="4348" w:type="dxa"/>
            <w:shd w:val="clear" w:color="auto" w:fill="FFFFFF" w:themeFill="background1"/>
            <w:vAlign w:val="center"/>
          </w:tcPr>
          <w:p w14:paraId="4B009A72" w14:textId="77777777" w:rsidR="00BA38CA" w:rsidRPr="00140D94" w:rsidRDefault="00BA38CA" w:rsidP="00F64DB4">
            <w:pPr>
              <w:keepNext/>
              <w:keepLines/>
              <w:spacing w:before="40"/>
              <w:jc w:val="center"/>
              <w:outlineLvl w:val="2"/>
              <w:rPr>
                <w:rFonts w:cstheme="minorHAnsi"/>
              </w:rPr>
            </w:pPr>
            <w:r w:rsidRPr="00140D94">
              <w:rPr>
                <w:rFonts w:cstheme="minorHAnsi"/>
              </w:rPr>
              <w:t>VOZAČI U TIMU SP TRAŽE KOEFICIJENT MED.TEHNIČARA</w:t>
            </w:r>
          </w:p>
        </w:tc>
        <w:tc>
          <w:tcPr>
            <w:tcW w:w="1605" w:type="dxa"/>
            <w:shd w:val="clear" w:color="auto" w:fill="FFFFFF" w:themeFill="background1"/>
            <w:vAlign w:val="center"/>
          </w:tcPr>
          <w:p w14:paraId="7131E419" w14:textId="77777777" w:rsidR="00BA38CA" w:rsidRPr="00140D94" w:rsidRDefault="00FB2774" w:rsidP="00FB2774">
            <w:pPr>
              <w:keepNext/>
              <w:keepLines/>
              <w:spacing w:before="40"/>
              <w:outlineLvl w:val="2"/>
              <w:rPr>
                <w:rFonts w:cstheme="minorHAnsi"/>
              </w:rPr>
            </w:pPr>
            <w:r w:rsidRPr="00140D94">
              <w:rPr>
                <w:rFonts w:cstheme="minorHAnsi"/>
              </w:rPr>
              <w:t xml:space="preserve">samostalno (5) + </w:t>
            </w:r>
            <w:r w:rsidR="00BA38CA" w:rsidRPr="00140D94">
              <w:rPr>
                <w:rFonts w:cstheme="minorHAnsi"/>
              </w:rPr>
              <w:t>OD RUŽDJAK I PARTNERI d.o.o. (1)</w:t>
            </w:r>
          </w:p>
        </w:tc>
      </w:tr>
      <w:tr w:rsidR="00BA38CA" w:rsidRPr="00140D94" w14:paraId="5684912E" w14:textId="77777777" w:rsidTr="00F13941">
        <w:trPr>
          <w:trHeight w:val="2162"/>
        </w:trPr>
        <w:tc>
          <w:tcPr>
            <w:tcW w:w="836" w:type="dxa"/>
            <w:shd w:val="clear" w:color="auto" w:fill="FFFFFF" w:themeFill="background1"/>
            <w:vAlign w:val="center"/>
          </w:tcPr>
          <w:p w14:paraId="3C3E1DC1" w14:textId="77777777" w:rsidR="00BA38CA" w:rsidRPr="00140D94" w:rsidRDefault="00FB2774" w:rsidP="00FB2774">
            <w:pPr>
              <w:keepNext/>
              <w:keepLines/>
              <w:spacing w:before="40"/>
              <w:jc w:val="center"/>
              <w:outlineLvl w:val="2"/>
              <w:rPr>
                <w:rFonts w:cstheme="minorHAnsi"/>
              </w:rPr>
            </w:pPr>
            <w:r w:rsidRPr="00140D94">
              <w:rPr>
                <w:rFonts w:cstheme="minorHAnsi"/>
              </w:rPr>
              <w:t>4</w:t>
            </w:r>
            <w:r w:rsidR="00BA38CA" w:rsidRPr="00140D94">
              <w:rPr>
                <w:rFonts w:cstheme="minorHAnsi"/>
              </w:rPr>
              <w:t>.</w:t>
            </w:r>
          </w:p>
        </w:tc>
        <w:tc>
          <w:tcPr>
            <w:tcW w:w="1417" w:type="dxa"/>
            <w:shd w:val="clear" w:color="auto" w:fill="FFFFFF" w:themeFill="background1"/>
            <w:vAlign w:val="center"/>
          </w:tcPr>
          <w:p w14:paraId="36085193" w14:textId="77777777" w:rsidR="00BA38CA" w:rsidRPr="00140D94" w:rsidRDefault="00BA38CA" w:rsidP="00FB2774">
            <w:pPr>
              <w:keepNext/>
              <w:keepLines/>
              <w:spacing w:before="40"/>
              <w:jc w:val="center"/>
              <w:outlineLvl w:val="2"/>
              <w:rPr>
                <w:rFonts w:cstheme="minorHAnsi"/>
              </w:rPr>
            </w:pPr>
            <w:r w:rsidRPr="00140D94">
              <w:rPr>
                <w:rFonts w:cstheme="minorHAnsi"/>
              </w:rPr>
              <w:t>I. K.</w:t>
            </w:r>
          </w:p>
          <w:p w14:paraId="782E53C8" w14:textId="77777777" w:rsidR="00BA38CA" w:rsidRPr="00140D94" w:rsidRDefault="00BA38CA" w:rsidP="00FB2774">
            <w:pPr>
              <w:keepNext/>
              <w:keepLines/>
              <w:spacing w:before="40"/>
              <w:jc w:val="center"/>
              <w:outlineLvl w:val="2"/>
              <w:rPr>
                <w:rFonts w:cstheme="minorHAnsi"/>
              </w:rPr>
            </w:pPr>
            <w:r w:rsidRPr="00140D94">
              <w:rPr>
                <w:rFonts w:cstheme="minorHAnsi"/>
              </w:rPr>
              <w:t>Pr-8996/2020</w:t>
            </w:r>
          </w:p>
          <w:p w14:paraId="245128A1" w14:textId="77777777" w:rsidR="00BA38CA" w:rsidRPr="00140D94" w:rsidRDefault="00BA38CA" w:rsidP="00FB2774">
            <w:pPr>
              <w:keepNext/>
              <w:keepLines/>
              <w:spacing w:before="40"/>
              <w:jc w:val="center"/>
              <w:outlineLvl w:val="2"/>
              <w:rPr>
                <w:rFonts w:cstheme="minorHAnsi"/>
              </w:rPr>
            </w:pPr>
            <w:r w:rsidRPr="00140D94">
              <w:rPr>
                <w:rFonts w:cstheme="minorHAnsi"/>
              </w:rPr>
              <w:t>Gž R-218/2023</w:t>
            </w:r>
          </w:p>
        </w:tc>
        <w:tc>
          <w:tcPr>
            <w:tcW w:w="1418" w:type="dxa"/>
            <w:shd w:val="clear" w:color="auto" w:fill="FFFFFF" w:themeFill="background1"/>
            <w:vAlign w:val="center"/>
          </w:tcPr>
          <w:p w14:paraId="58905D76" w14:textId="77777777" w:rsidR="00FB2774" w:rsidRPr="00140D94" w:rsidRDefault="00BA38CA" w:rsidP="00FB2774">
            <w:pPr>
              <w:keepNext/>
              <w:keepLines/>
              <w:spacing w:before="40"/>
              <w:jc w:val="center"/>
              <w:outlineLvl w:val="2"/>
              <w:rPr>
                <w:rFonts w:cstheme="minorHAnsi"/>
              </w:rPr>
            </w:pPr>
            <w:r w:rsidRPr="00140D94">
              <w:rPr>
                <w:rFonts w:cstheme="minorHAnsi"/>
              </w:rPr>
              <w:t xml:space="preserve">11.649,78 </w:t>
            </w:r>
          </w:p>
          <w:p w14:paraId="355E61D1" w14:textId="77777777" w:rsidR="00BA38CA" w:rsidRPr="00140D94" w:rsidRDefault="00BA38CA" w:rsidP="00FB2774">
            <w:pPr>
              <w:keepNext/>
              <w:keepLines/>
              <w:spacing w:before="40"/>
              <w:jc w:val="center"/>
              <w:outlineLvl w:val="2"/>
              <w:rPr>
                <w:rFonts w:cstheme="minorHAnsi"/>
              </w:rPr>
            </w:pPr>
            <w:r w:rsidRPr="00140D94">
              <w:rPr>
                <w:rFonts w:cstheme="minorHAnsi"/>
              </w:rPr>
              <w:t>EUR</w:t>
            </w:r>
          </w:p>
        </w:tc>
        <w:tc>
          <w:tcPr>
            <w:tcW w:w="4348" w:type="dxa"/>
            <w:shd w:val="clear" w:color="auto" w:fill="FFFFFF" w:themeFill="background1"/>
            <w:vAlign w:val="center"/>
          </w:tcPr>
          <w:p w14:paraId="00DB62A0" w14:textId="77777777" w:rsidR="00BA38CA" w:rsidRPr="00140D94" w:rsidRDefault="00BA38CA" w:rsidP="00F64DB4">
            <w:pPr>
              <w:keepNext/>
              <w:keepLines/>
              <w:numPr>
                <w:ilvl w:val="0"/>
                <w:numId w:val="10"/>
              </w:numPr>
              <w:spacing w:before="40"/>
              <w:outlineLvl w:val="2"/>
              <w:rPr>
                <w:rFonts w:cstheme="minorHAnsi"/>
              </w:rPr>
            </w:pPr>
            <w:r w:rsidRPr="00140D94">
              <w:rPr>
                <w:rFonts w:cstheme="minorHAnsi"/>
              </w:rPr>
              <w:t>naknada štete – razlika plaće vozača HMP i SP</w:t>
            </w:r>
          </w:p>
          <w:p w14:paraId="7B63437A" w14:textId="77777777" w:rsidR="00BA38CA" w:rsidRPr="00140D94" w:rsidRDefault="00BA38CA" w:rsidP="00F64DB4">
            <w:pPr>
              <w:keepNext/>
              <w:keepLines/>
              <w:numPr>
                <w:ilvl w:val="0"/>
                <w:numId w:val="10"/>
              </w:numPr>
              <w:spacing w:before="40"/>
              <w:outlineLvl w:val="2"/>
              <w:rPr>
                <w:rFonts w:cstheme="minorHAnsi"/>
              </w:rPr>
            </w:pPr>
            <w:r w:rsidRPr="00140D94">
              <w:rPr>
                <w:rFonts w:cstheme="minorHAnsi"/>
              </w:rPr>
              <w:t>29.12.2022. uložena žalba Zavoda kao tuženika</w:t>
            </w:r>
          </w:p>
          <w:p w14:paraId="2A2097BC" w14:textId="77777777" w:rsidR="00BA38CA" w:rsidRPr="00140D94" w:rsidRDefault="00BA38CA" w:rsidP="00F64DB4">
            <w:pPr>
              <w:keepNext/>
              <w:keepLines/>
              <w:numPr>
                <w:ilvl w:val="0"/>
                <w:numId w:val="10"/>
              </w:numPr>
              <w:spacing w:before="40"/>
              <w:outlineLvl w:val="2"/>
              <w:rPr>
                <w:rFonts w:cstheme="minorHAnsi"/>
              </w:rPr>
            </w:pPr>
            <w:r w:rsidRPr="00140D94">
              <w:rPr>
                <w:rFonts w:cstheme="minorHAnsi"/>
              </w:rPr>
              <w:t>Uvidom u e-Komunikaciju, 21.2.2023. osnovan predmet  Gž R-218/2023 pri Županijskom sudu u Zagrebu</w:t>
            </w:r>
          </w:p>
          <w:p w14:paraId="3F69C26A" w14:textId="77777777" w:rsidR="00BA38CA" w:rsidRPr="00140D94" w:rsidRDefault="00BA38CA" w:rsidP="00F64DB4">
            <w:pPr>
              <w:keepNext/>
              <w:keepLines/>
              <w:numPr>
                <w:ilvl w:val="0"/>
                <w:numId w:val="10"/>
              </w:numPr>
              <w:spacing w:before="40"/>
              <w:outlineLvl w:val="2"/>
              <w:rPr>
                <w:rFonts w:cstheme="minorHAnsi"/>
              </w:rPr>
            </w:pPr>
            <w:r w:rsidRPr="00140D94">
              <w:rPr>
                <w:rFonts w:cstheme="minorHAnsi"/>
              </w:rPr>
              <w:t>Nema daljnje aktivnosti u ovom predmetu</w:t>
            </w:r>
          </w:p>
        </w:tc>
        <w:tc>
          <w:tcPr>
            <w:tcW w:w="1605" w:type="dxa"/>
            <w:shd w:val="clear" w:color="auto" w:fill="FFFFFF" w:themeFill="background1"/>
            <w:vAlign w:val="center"/>
          </w:tcPr>
          <w:p w14:paraId="57544269" w14:textId="77777777" w:rsidR="00BA38CA" w:rsidRPr="00140D94" w:rsidRDefault="00BA38CA" w:rsidP="00FB2774">
            <w:pPr>
              <w:keepNext/>
              <w:keepLines/>
              <w:spacing w:before="40"/>
              <w:outlineLvl w:val="2"/>
              <w:rPr>
                <w:rFonts w:cstheme="minorHAnsi"/>
              </w:rPr>
            </w:pPr>
            <w:r w:rsidRPr="00140D94">
              <w:rPr>
                <w:rFonts w:cstheme="minorHAnsi"/>
              </w:rPr>
              <w:t>ODVJETNIČKO DRUŠTVO RUŽDJAK I PARTNERI d.o.o.</w:t>
            </w:r>
          </w:p>
        </w:tc>
      </w:tr>
      <w:tr w:rsidR="00FB2774" w:rsidRPr="00140D94" w14:paraId="22F9DA54" w14:textId="77777777" w:rsidTr="00F13941">
        <w:trPr>
          <w:trHeight w:val="912"/>
        </w:trPr>
        <w:tc>
          <w:tcPr>
            <w:tcW w:w="3671" w:type="dxa"/>
            <w:gridSpan w:val="3"/>
            <w:shd w:val="clear" w:color="auto" w:fill="FFFFFF" w:themeFill="background1"/>
            <w:vAlign w:val="center"/>
          </w:tcPr>
          <w:p w14:paraId="36C28626" w14:textId="77777777" w:rsidR="00FB2774" w:rsidRPr="00140D94" w:rsidRDefault="00E01A0E" w:rsidP="00E01A0E">
            <w:pPr>
              <w:keepNext/>
              <w:keepLines/>
              <w:spacing w:before="40"/>
              <w:jc w:val="center"/>
              <w:outlineLvl w:val="2"/>
              <w:rPr>
                <w:rFonts w:cstheme="minorHAnsi"/>
                <w:b/>
              </w:rPr>
            </w:pPr>
            <w:r w:rsidRPr="00140D94">
              <w:rPr>
                <w:rFonts w:cstheme="minorHAnsi"/>
                <w:b/>
              </w:rPr>
              <w:t>Ukupno isplaćeno za prekovremeni rad u 2024. godini je 57 predmeta</w:t>
            </w:r>
          </w:p>
          <w:p w14:paraId="5FA143FB" w14:textId="77777777" w:rsidR="00E01A0E" w:rsidRPr="00140D94" w:rsidRDefault="00E01A0E" w:rsidP="00E01A0E">
            <w:pPr>
              <w:keepNext/>
              <w:keepLines/>
              <w:spacing w:before="40"/>
              <w:outlineLvl w:val="2"/>
              <w:rPr>
                <w:rFonts w:cstheme="minorHAnsi"/>
                <w:b/>
              </w:rPr>
            </w:pPr>
          </w:p>
        </w:tc>
        <w:tc>
          <w:tcPr>
            <w:tcW w:w="4348" w:type="dxa"/>
            <w:shd w:val="clear" w:color="auto" w:fill="FFFFFF" w:themeFill="background1"/>
            <w:vAlign w:val="center"/>
          </w:tcPr>
          <w:p w14:paraId="48B9EEC4" w14:textId="77777777" w:rsidR="00FB2774" w:rsidRPr="00140D94" w:rsidRDefault="00FB2774" w:rsidP="00F64DB4">
            <w:pPr>
              <w:keepNext/>
              <w:keepLines/>
              <w:spacing w:before="40"/>
              <w:outlineLvl w:val="2"/>
              <w:rPr>
                <w:rFonts w:cstheme="minorHAnsi"/>
              </w:rPr>
            </w:pPr>
            <w:r w:rsidRPr="00140D94">
              <w:rPr>
                <w:rFonts w:cstheme="minorHAnsi"/>
              </w:rPr>
              <w:t>Pravomoćno, okončano: 368 predmeta</w:t>
            </w:r>
          </w:p>
          <w:p w14:paraId="2009B557" w14:textId="77777777" w:rsidR="00FB2774" w:rsidRPr="00140D94" w:rsidRDefault="00FB2774" w:rsidP="00F64DB4">
            <w:pPr>
              <w:keepNext/>
              <w:keepLines/>
              <w:spacing w:before="40"/>
              <w:outlineLvl w:val="2"/>
              <w:rPr>
                <w:rFonts w:cstheme="minorHAnsi"/>
              </w:rPr>
            </w:pPr>
            <w:r w:rsidRPr="00140D94">
              <w:rPr>
                <w:rFonts w:cstheme="minorHAnsi"/>
              </w:rPr>
              <w:t xml:space="preserve">U tijeku: 23 predmeta (11 u tijeku, 11 presuđenih koji još nisu pravomoćni, 1 u žalbenom postupku) </w:t>
            </w:r>
          </w:p>
        </w:tc>
        <w:tc>
          <w:tcPr>
            <w:tcW w:w="1605" w:type="dxa"/>
            <w:shd w:val="clear" w:color="auto" w:fill="FFFFFF" w:themeFill="background1"/>
            <w:vAlign w:val="center"/>
          </w:tcPr>
          <w:p w14:paraId="2F7E7FCE" w14:textId="77777777" w:rsidR="00FB2774" w:rsidRPr="00140D94" w:rsidRDefault="00FB2774" w:rsidP="00FB2774">
            <w:pPr>
              <w:keepNext/>
              <w:keepLines/>
              <w:spacing w:before="40"/>
              <w:outlineLvl w:val="2"/>
              <w:rPr>
                <w:rFonts w:cstheme="minorHAnsi"/>
              </w:rPr>
            </w:pPr>
            <w:r w:rsidRPr="00140D94">
              <w:rPr>
                <w:rFonts w:cstheme="minorHAnsi"/>
              </w:rPr>
              <w:t>samostalno</w:t>
            </w:r>
          </w:p>
        </w:tc>
      </w:tr>
      <w:tr w:rsidR="00E01A0E" w:rsidRPr="00140D94" w14:paraId="6E21895B" w14:textId="77777777" w:rsidTr="00F13941">
        <w:trPr>
          <w:trHeight w:val="510"/>
        </w:trPr>
        <w:tc>
          <w:tcPr>
            <w:tcW w:w="3671" w:type="dxa"/>
            <w:gridSpan w:val="3"/>
            <w:shd w:val="clear" w:color="auto" w:fill="FFFFFF" w:themeFill="background1"/>
            <w:vAlign w:val="center"/>
          </w:tcPr>
          <w:p w14:paraId="66398FD8" w14:textId="77777777" w:rsidR="00E01A0E" w:rsidRPr="00140D94" w:rsidRDefault="00E01A0E" w:rsidP="00E01A0E">
            <w:pPr>
              <w:keepNext/>
              <w:keepLines/>
              <w:spacing w:before="40"/>
              <w:jc w:val="center"/>
              <w:outlineLvl w:val="2"/>
              <w:rPr>
                <w:rFonts w:cstheme="minorHAnsi"/>
                <w:b/>
              </w:rPr>
            </w:pPr>
            <w:r w:rsidRPr="00140D94">
              <w:rPr>
                <w:rFonts w:cstheme="minorHAnsi"/>
                <w:b/>
              </w:rPr>
              <w:t>Ukupno isplaćeno za osnovicu u 2024 godini je 62 predmeta</w:t>
            </w:r>
          </w:p>
          <w:p w14:paraId="49504EAC" w14:textId="77777777" w:rsidR="00E01A0E" w:rsidRPr="00140D94" w:rsidRDefault="00E01A0E" w:rsidP="00E01A0E">
            <w:pPr>
              <w:keepNext/>
              <w:keepLines/>
              <w:spacing w:before="40"/>
              <w:outlineLvl w:val="2"/>
              <w:rPr>
                <w:rFonts w:cstheme="minorHAnsi"/>
              </w:rPr>
            </w:pPr>
          </w:p>
        </w:tc>
        <w:tc>
          <w:tcPr>
            <w:tcW w:w="4348" w:type="dxa"/>
            <w:shd w:val="clear" w:color="auto" w:fill="FFFFFF" w:themeFill="background1"/>
            <w:vAlign w:val="center"/>
          </w:tcPr>
          <w:p w14:paraId="28E70A55" w14:textId="77777777" w:rsidR="00E01A0E" w:rsidRPr="00140D94" w:rsidRDefault="00E01A0E" w:rsidP="00F13941">
            <w:pPr>
              <w:keepNext/>
              <w:keepLines/>
              <w:spacing w:before="40"/>
              <w:ind w:right="-18"/>
              <w:outlineLvl w:val="2"/>
              <w:rPr>
                <w:rFonts w:cstheme="minorHAnsi"/>
              </w:rPr>
            </w:pPr>
            <w:r w:rsidRPr="00140D94">
              <w:rPr>
                <w:rFonts w:cstheme="minorHAnsi"/>
              </w:rPr>
              <w:t>Pravomoćno, okončano: 242 predmeta</w:t>
            </w:r>
          </w:p>
          <w:p w14:paraId="42841D4B" w14:textId="77777777" w:rsidR="00E01A0E" w:rsidRPr="00140D94" w:rsidRDefault="00E01A0E" w:rsidP="00F64DB4">
            <w:pPr>
              <w:keepNext/>
              <w:keepLines/>
              <w:spacing w:before="40"/>
              <w:outlineLvl w:val="2"/>
              <w:rPr>
                <w:rFonts w:cstheme="minorHAnsi"/>
              </w:rPr>
            </w:pPr>
            <w:r w:rsidRPr="00140D94">
              <w:rPr>
                <w:rFonts w:cstheme="minorHAnsi"/>
              </w:rPr>
              <w:t>U tijeku: 14 predmeta (4 u tijeku, 8 presuđenih koji još nisu pravomoćni, 2 u žalbenom postupku)</w:t>
            </w:r>
          </w:p>
        </w:tc>
        <w:tc>
          <w:tcPr>
            <w:tcW w:w="1605" w:type="dxa"/>
            <w:shd w:val="clear" w:color="auto" w:fill="FFFFFF" w:themeFill="background1"/>
            <w:vAlign w:val="center"/>
          </w:tcPr>
          <w:p w14:paraId="6164ABD9" w14:textId="77777777" w:rsidR="00E01A0E" w:rsidRPr="00140D94" w:rsidRDefault="00E01A0E" w:rsidP="00FB2774">
            <w:pPr>
              <w:keepNext/>
              <w:keepLines/>
              <w:spacing w:before="40"/>
              <w:outlineLvl w:val="2"/>
              <w:rPr>
                <w:rFonts w:cstheme="minorHAnsi"/>
              </w:rPr>
            </w:pPr>
            <w:r w:rsidRPr="00140D94">
              <w:rPr>
                <w:rFonts w:cstheme="minorHAnsi"/>
              </w:rPr>
              <w:t>samostalno</w:t>
            </w:r>
          </w:p>
        </w:tc>
      </w:tr>
    </w:tbl>
    <w:p w14:paraId="179F6CFC" w14:textId="77777777" w:rsidR="005861DA" w:rsidRPr="00140D94" w:rsidRDefault="005861DA" w:rsidP="00EC7077">
      <w:pPr>
        <w:pStyle w:val="Naslov6"/>
        <w:jc w:val="both"/>
        <w:rPr>
          <w:rFonts w:asciiTheme="minorHAnsi" w:hAnsiTheme="minorHAnsi" w:cstheme="minorHAnsi"/>
          <w:color w:val="auto"/>
          <w:lang w:eastAsia="x-none"/>
        </w:rPr>
      </w:pPr>
      <w:r w:rsidRPr="00140D94">
        <w:rPr>
          <w:rFonts w:asciiTheme="minorHAnsi" w:hAnsiTheme="minorHAnsi" w:cstheme="minorHAnsi"/>
          <w:color w:val="auto"/>
        </w:rPr>
        <w:lastRenderedPageBreak/>
        <w:t>Na dan 31. 12. 2024. u tijeku je 23 sudska spora za prekovremen</w:t>
      </w:r>
      <w:r w:rsidR="00EC7077" w:rsidRPr="00140D94">
        <w:rPr>
          <w:rFonts w:asciiTheme="minorHAnsi" w:hAnsiTheme="minorHAnsi" w:cstheme="minorHAnsi"/>
          <w:color w:val="auto"/>
        </w:rPr>
        <w:t xml:space="preserve">i rad, te 14 sudskih sporova </w:t>
      </w:r>
      <w:r w:rsidRPr="00140D94">
        <w:rPr>
          <w:rFonts w:asciiTheme="minorHAnsi" w:hAnsiTheme="minorHAnsi" w:cstheme="minorHAnsi"/>
          <w:color w:val="auto"/>
        </w:rPr>
        <w:t xml:space="preserve">glede </w:t>
      </w:r>
      <w:r w:rsidR="00EC7077" w:rsidRPr="00140D94">
        <w:rPr>
          <w:rFonts w:asciiTheme="minorHAnsi" w:hAnsiTheme="minorHAnsi" w:cstheme="minorHAnsi"/>
          <w:color w:val="auto"/>
        </w:rPr>
        <w:t xml:space="preserve">osnovice za plaću iz 2016 godine. </w:t>
      </w:r>
      <w:r w:rsidR="00E14C55" w:rsidRPr="00140D94">
        <w:rPr>
          <w:rFonts w:asciiTheme="minorHAnsi" w:hAnsiTheme="minorHAnsi" w:cstheme="minorHAnsi"/>
          <w:color w:val="auto"/>
        </w:rPr>
        <w:t xml:space="preserve">Za </w:t>
      </w:r>
      <w:r w:rsidR="00E14C55" w:rsidRPr="00140D94">
        <w:rPr>
          <w:rFonts w:asciiTheme="minorHAnsi" w:hAnsiTheme="minorHAnsi" w:cstheme="minorHAnsi"/>
          <w:color w:val="auto"/>
          <w:lang w:eastAsia="x-none"/>
        </w:rPr>
        <w:t>sudske postupke</w:t>
      </w:r>
      <w:r w:rsidRPr="00140D94">
        <w:rPr>
          <w:rFonts w:asciiTheme="minorHAnsi" w:hAnsiTheme="minorHAnsi" w:cstheme="minorHAnsi"/>
          <w:color w:val="auto"/>
          <w:lang w:eastAsia="x-none"/>
        </w:rPr>
        <w:t xml:space="preserve"> </w:t>
      </w:r>
      <w:r w:rsidR="00E14C55" w:rsidRPr="00140D94">
        <w:rPr>
          <w:rFonts w:asciiTheme="minorHAnsi" w:hAnsiTheme="minorHAnsi" w:cstheme="minorHAnsi"/>
          <w:color w:val="auto"/>
          <w:lang w:eastAsia="x-none"/>
        </w:rPr>
        <w:t>u tijeku i buduće</w:t>
      </w:r>
      <w:r w:rsidR="00EC7077" w:rsidRPr="00140D94">
        <w:rPr>
          <w:rFonts w:asciiTheme="minorHAnsi" w:hAnsiTheme="minorHAnsi" w:cstheme="minorHAnsi"/>
          <w:color w:val="auto"/>
          <w:lang w:eastAsia="x-none"/>
        </w:rPr>
        <w:t xml:space="preserve"> </w:t>
      </w:r>
      <w:r w:rsidR="00E14C55" w:rsidRPr="00140D94">
        <w:rPr>
          <w:rFonts w:asciiTheme="minorHAnsi" w:hAnsiTheme="minorHAnsi" w:cstheme="minorHAnsi"/>
          <w:color w:val="auto"/>
          <w:lang w:eastAsia="x-none"/>
        </w:rPr>
        <w:t xml:space="preserve">potencijalne, </w:t>
      </w:r>
      <w:r w:rsidR="00EC7077" w:rsidRPr="00140D94">
        <w:rPr>
          <w:rFonts w:asciiTheme="minorHAnsi" w:hAnsiTheme="minorHAnsi" w:cstheme="minorHAnsi"/>
          <w:color w:val="auto"/>
          <w:lang w:eastAsia="x-none"/>
        </w:rPr>
        <w:t xml:space="preserve">a vezano za isto </w:t>
      </w:r>
      <w:r w:rsidRPr="00140D94">
        <w:rPr>
          <w:rFonts w:asciiTheme="minorHAnsi" w:hAnsiTheme="minorHAnsi" w:cstheme="minorHAnsi"/>
          <w:color w:val="auto"/>
          <w:lang w:eastAsia="x-none"/>
        </w:rPr>
        <w:t xml:space="preserve">procjenjuje </w:t>
      </w:r>
      <w:r w:rsidR="00EC7077" w:rsidRPr="00140D94">
        <w:rPr>
          <w:rFonts w:asciiTheme="minorHAnsi" w:hAnsiTheme="minorHAnsi" w:cstheme="minorHAnsi"/>
          <w:color w:val="auto"/>
          <w:lang w:eastAsia="x-none"/>
        </w:rPr>
        <w:t xml:space="preserve">se iznos </w:t>
      </w:r>
      <w:r w:rsidR="00E14C55" w:rsidRPr="00140D94">
        <w:rPr>
          <w:rFonts w:asciiTheme="minorHAnsi" w:hAnsiTheme="minorHAnsi" w:cstheme="minorHAnsi"/>
          <w:color w:val="auto"/>
          <w:lang w:eastAsia="x-none"/>
        </w:rPr>
        <w:t xml:space="preserve">od </w:t>
      </w:r>
      <w:r w:rsidR="00EC7077" w:rsidRPr="00140D94">
        <w:rPr>
          <w:rFonts w:asciiTheme="minorHAnsi" w:hAnsiTheme="minorHAnsi" w:cstheme="minorHAnsi"/>
          <w:color w:val="auto"/>
          <w:lang w:eastAsia="x-none"/>
        </w:rPr>
        <w:t>185.781,15 eura.</w:t>
      </w:r>
    </w:p>
    <w:p w14:paraId="154C2D78" w14:textId="6863E2B4" w:rsidR="004D4E10" w:rsidRPr="00140D94" w:rsidRDefault="004D4E10" w:rsidP="00F13941">
      <w:pPr>
        <w:rPr>
          <w:rFonts w:cstheme="minorHAnsi"/>
        </w:rPr>
      </w:pPr>
    </w:p>
    <w:p w14:paraId="2679030D" w14:textId="77777777" w:rsidR="00140D94" w:rsidRDefault="00140D94" w:rsidP="005E421F">
      <w:pPr>
        <w:rPr>
          <w:rFonts w:cstheme="minorHAnsi"/>
        </w:rPr>
      </w:pPr>
    </w:p>
    <w:p w14:paraId="0B76D4E1" w14:textId="77777777" w:rsidR="004D4E10" w:rsidRPr="00140D94" w:rsidRDefault="004D4E10" w:rsidP="004D4E10">
      <w:pPr>
        <w:ind w:left="360"/>
        <w:jc w:val="center"/>
        <w:rPr>
          <w:rFonts w:cstheme="minorHAnsi"/>
        </w:rPr>
      </w:pPr>
      <w:r w:rsidRPr="00140D94">
        <w:rPr>
          <w:rFonts w:cstheme="minorHAnsi"/>
        </w:rPr>
        <w:t>3. BILJEŠKE</w:t>
      </w:r>
    </w:p>
    <w:p w14:paraId="68D17654" w14:textId="77777777" w:rsidR="004D4E10" w:rsidRPr="00140D94" w:rsidRDefault="004D4E10" w:rsidP="004D4E10">
      <w:pPr>
        <w:ind w:left="360"/>
        <w:jc w:val="center"/>
        <w:rPr>
          <w:rFonts w:cstheme="minorHAnsi"/>
        </w:rPr>
      </w:pPr>
      <w:r w:rsidRPr="00140D94">
        <w:rPr>
          <w:rFonts w:cstheme="minorHAnsi"/>
        </w:rPr>
        <w:t>uz Izvještaj o promjenama o vrijednosti i obujmu imovine</w:t>
      </w:r>
    </w:p>
    <w:p w14:paraId="46B5765E" w14:textId="77777777" w:rsidR="004D4E10" w:rsidRPr="00140D94" w:rsidRDefault="004D4E10" w:rsidP="004D4E10">
      <w:pPr>
        <w:jc w:val="center"/>
        <w:rPr>
          <w:rFonts w:cstheme="minorHAnsi"/>
        </w:rPr>
      </w:pPr>
      <w:r w:rsidRPr="00140D94">
        <w:rPr>
          <w:rFonts w:cstheme="minorHAnsi"/>
        </w:rPr>
        <w:t>(Obrazac: P-VRIO)</w:t>
      </w:r>
    </w:p>
    <w:p w14:paraId="3A8AC5AC" w14:textId="77777777" w:rsidR="004D4E10" w:rsidRPr="00140D94" w:rsidRDefault="004D4E10" w:rsidP="004D4E10">
      <w:pPr>
        <w:jc w:val="center"/>
        <w:rPr>
          <w:rFonts w:cstheme="minorHAnsi"/>
        </w:rPr>
      </w:pPr>
    </w:p>
    <w:p w14:paraId="171F27A8" w14:textId="39B4A217" w:rsidR="004D4E10" w:rsidRPr="00140D94" w:rsidRDefault="004D4E10" w:rsidP="004D4E10">
      <w:pPr>
        <w:jc w:val="both"/>
        <w:rPr>
          <w:rFonts w:cstheme="minorHAnsi"/>
        </w:rPr>
      </w:pPr>
      <w:r w:rsidRPr="00140D94">
        <w:rPr>
          <w:rFonts w:cstheme="minorHAnsi"/>
        </w:rPr>
        <w:t xml:space="preserve">Povećanje vrijednosti imovine u iznosu od </w:t>
      </w:r>
      <w:r w:rsidR="00120674" w:rsidRPr="00140D94">
        <w:rPr>
          <w:rFonts w:cstheme="minorHAnsi"/>
        </w:rPr>
        <w:t>813,15 eura</w:t>
      </w:r>
      <w:r w:rsidRPr="00140D94">
        <w:rPr>
          <w:rFonts w:cstheme="minorHAnsi"/>
        </w:rPr>
        <w:t xml:space="preserve"> rezultat je donacije </w:t>
      </w:r>
      <w:r w:rsidR="00DC33C5" w:rsidRPr="00140D94">
        <w:rPr>
          <w:rFonts w:cstheme="minorHAnsi"/>
        </w:rPr>
        <w:t>od Hrvatskog zavoda za hitnu medicinu, Pedijatrijski vakuum madrac za transport i mobilizaciju, torba za udlage i pedijatrijski madrac.</w:t>
      </w:r>
    </w:p>
    <w:p w14:paraId="21412330" w14:textId="77777777" w:rsidR="004D4E10" w:rsidRPr="00140D94" w:rsidRDefault="004D4E10" w:rsidP="004D4E10">
      <w:pPr>
        <w:jc w:val="both"/>
        <w:rPr>
          <w:rFonts w:cstheme="minorHAnsi"/>
        </w:rPr>
      </w:pPr>
    </w:p>
    <w:p w14:paraId="5AEFA308" w14:textId="77777777" w:rsidR="004D4E10" w:rsidRPr="00140D94" w:rsidRDefault="004D4E10" w:rsidP="004D4E10">
      <w:pPr>
        <w:ind w:left="360"/>
        <w:jc w:val="center"/>
        <w:rPr>
          <w:rFonts w:cstheme="minorHAnsi"/>
        </w:rPr>
      </w:pPr>
      <w:r w:rsidRPr="00140D94">
        <w:rPr>
          <w:rFonts w:cstheme="minorHAnsi"/>
        </w:rPr>
        <w:t>4. BILJEŠKE</w:t>
      </w:r>
    </w:p>
    <w:p w14:paraId="364E4565" w14:textId="77777777" w:rsidR="004D4E10" w:rsidRPr="00140D94" w:rsidRDefault="004D4E10" w:rsidP="004D4E10">
      <w:pPr>
        <w:ind w:left="360"/>
        <w:jc w:val="center"/>
        <w:rPr>
          <w:rFonts w:cstheme="minorHAnsi"/>
        </w:rPr>
      </w:pPr>
      <w:r w:rsidRPr="00140D94">
        <w:rPr>
          <w:rFonts w:cstheme="minorHAnsi"/>
        </w:rPr>
        <w:t>uz Izvještaj o rashodima prema funkcijskoj klasifikaciji</w:t>
      </w:r>
    </w:p>
    <w:p w14:paraId="73C90536" w14:textId="77777777" w:rsidR="004D4E10" w:rsidRPr="00140D94" w:rsidRDefault="004D4E10" w:rsidP="004D4E10">
      <w:pPr>
        <w:jc w:val="center"/>
        <w:rPr>
          <w:rFonts w:cstheme="minorHAnsi"/>
        </w:rPr>
      </w:pPr>
      <w:r w:rsidRPr="00140D94">
        <w:rPr>
          <w:rFonts w:cstheme="minorHAnsi"/>
        </w:rPr>
        <w:t>(Obrazac: RAS-funkcijski)</w:t>
      </w:r>
    </w:p>
    <w:p w14:paraId="01D9DA70" w14:textId="77777777" w:rsidR="004D4E10" w:rsidRPr="00140D94" w:rsidRDefault="004D4E10" w:rsidP="004D4E10">
      <w:pPr>
        <w:jc w:val="both"/>
        <w:rPr>
          <w:rFonts w:cstheme="minorHAnsi"/>
        </w:rPr>
      </w:pPr>
    </w:p>
    <w:p w14:paraId="1D9DAADE" w14:textId="77777777" w:rsidR="004D4E10" w:rsidRPr="00140D94" w:rsidRDefault="00774576" w:rsidP="004D4E10">
      <w:pPr>
        <w:jc w:val="both"/>
        <w:rPr>
          <w:rFonts w:cstheme="minorHAnsi"/>
        </w:rPr>
      </w:pPr>
      <w:r w:rsidRPr="00140D94">
        <w:rPr>
          <w:rFonts w:cstheme="minorHAnsi"/>
        </w:rPr>
        <w:t>Na dan 31.12.2024</w:t>
      </w:r>
      <w:r w:rsidR="004D4E10" w:rsidRPr="00140D94">
        <w:rPr>
          <w:rFonts w:cstheme="minorHAnsi"/>
        </w:rPr>
        <w:t>. godine, funkcijski su klasificirani rashodi poslovanja i rashodi za nabavu nefinancijske imovine na brojčanu oznaku 07 – Zdravstvo</w:t>
      </w:r>
      <w:r w:rsidRPr="00140D94">
        <w:rPr>
          <w:rFonts w:cstheme="minorHAnsi"/>
        </w:rPr>
        <w:t>, tj. 0722 Specijalističke medicinske usluge.</w:t>
      </w:r>
    </w:p>
    <w:p w14:paraId="4F7331AA" w14:textId="61BB1F13" w:rsidR="004D4E10" w:rsidRPr="00140D94" w:rsidRDefault="004D4E10" w:rsidP="004D4E10">
      <w:pPr>
        <w:jc w:val="both"/>
        <w:rPr>
          <w:rFonts w:cstheme="minorHAnsi"/>
        </w:rPr>
      </w:pPr>
    </w:p>
    <w:p w14:paraId="114521CD" w14:textId="77777777" w:rsidR="004D4E10" w:rsidRPr="00140D94" w:rsidRDefault="004D4E10" w:rsidP="004D4E10">
      <w:pPr>
        <w:jc w:val="both"/>
        <w:rPr>
          <w:rFonts w:cstheme="minorHAnsi"/>
        </w:rPr>
      </w:pPr>
    </w:p>
    <w:p w14:paraId="242E5D30" w14:textId="77777777" w:rsidR="004D4E10" w:rsidRPr="00140D94" w:rsidRDefault="004D4E10" w:rsidP="004D4E10">
      <w:pPr>
        <w:pStyle w:val="Odlomakpopisa"/>
        <w:ind w:left="360"/>
        <w:jc w:val="center"/>
        <w:rPr>
          <w:rFonts w:cstheme="minorHAnsi"/>
        </w:rPr>
      </w:pPr>
      <w:r w:rsidRPr="00140D94">
        <w:rPr>
          <w:rFonts w:cstheme="minorHAnsi"/>
        </w:rPr>
        <w:t>5. BILJEŠKE</w:t>
      </w:r>
    </w:p>
    <w:p w14:paraId="21B9B841" w14:textId="77777777" w:rsidR="004D4E10" w:rsidRPr="00140D94" w:rsidRDefault="004D4E10" w:rsidP="004D4E10">
      <w:pPr>
        <w:ind w:left="720"/>
        <w:jc w:val="center"/>
        <w:rPr>
          <w:rFonts w:cstheme="minorHAnsi"/>
        </w:rPr>
      </w:pPr>
      <w:r w:rsidRPr="00140D94">
        <w:rPr>
          <w:rFonts w:cstheme="minorHAnsi"/>
        </w:rPr>
        <w:t>uz Izvještaj o obvezama</w:t>
      </w:r>
    </w:p>
    <w:p w14:paraId="6CDE69D5" w14:textId="77777777" w:rsidR="004D4E10" w:rsidRPr="00140D94" w:rsidRDefault="004D4E10" w:rsidP="004D4E10">
      <w:pPr>
        <w:jc w:val="both"/>
        <w:rPr>
          <w:rFonts w:cstheme="minorHAnsi"/>
        </w:rPr>
      </w:pPr>
    </w:p>
    <w:p w14:paraId="2B8EF083" w14:textId="77777777" w:rsidR="00415374" w:rsidRPr="00140D94" w:rsidRDefault="007C3447" w:rsidP="00415374">
      <w:pPr>
        <w:jc w:val="both"/>
        <w:rPr>
          <w:rFonts w:cstheme="minorHAnsi"/>
        </w:rPr>
      </w:pPr>
      <w:r w:rsidRPr="00140D94">
        <w:rPr>
          <w:rFonts w:cstheme="minorHAnsi"/>
        </w:rPr>
        <w:t>Stanje obveza n</w:t>
      </w:r>
      <w:r w:rsidR="004D4E10" w:rsidRPr="00140D94">
        <w:rPr>
          <w:rFonts w:cstheme="minorHAnsi"/>
        </w:rPr>
        <w:t xml:space="preserve">a dan </w:t>
      </w:r>
      <w:r w:rsidRPr="00140D94">
        <w:rPr>
          <w:rFonts w:cstheme="minorHAnsi"/>
        </w:rPr>
        <w:t>31.12.2024</w:t>
      </w:r>
      <w:r w:rsidR="004D4E10" w:rsidRPr="00140D94">
        <w:rPr>
          <w:rFonts w:cstheme="minorHAnsi"/>
        </w:rPr>
        <w:t xml:space="preserve">. godine </w:t>
      </w:r>
      <w:r w:rsidRPr="00140D94">
        <w:rPr>
          <w:rFonts w:cstheme="minorHAnsi"/>
        </w:rPr>
        <w:t xml:space="preserve">iznosi 4.299.365,07 (V006), </w:t>
      </w:r>
      <w:r w:rsidR="003228D1" w:rsidRPr="00140D94">
        <w:rPr>
          <w:rFonts w:cstheme="minorHAnsi"/>
        </w:rPr>
        <w:t xml:space="preserve"> a odnose se na</w:t>
      </w:r>
      <w:r w:rsidR="00415374" w:rsidRPr="00140D94">
        <w:rPr>
          <w:rFonts w:cstheme="minorHAnsi"/>
        </w:rPr>
        <w:t>:</w:t>
      </w:r>
    </w:p>
    <w:p w14:paraId="25ADAD3B" w14:textId="77777777" w:rsidR="00415374" w:rsidRPr="00140D94" w:rsidRDefault="003228D1" w:rsidP="00415374">
      <w:pPr>
        <w:pStyle w:val="Odlomakpopisa"/>
        <w:numPr>
          <w:ilvl w:val="0"/>
          <w:numId w:val="25"/>
        </w:numPr>
        <w:jc w:val="both"/>
        <w:rPr>
          <w:rFonts w:cstheme="minorHAnsi"/>
        </w:rPr>
      </w:pPr>
      <w:r w:rsidRPr="00140D94">
        <w:rPr>
          <w:rFonts w:cstheme="minorHAnsi"/>
        </w:rPr>
        <w:t>obveze po dugoročnom kreditu za nabavu sanitetskih vozila</w:t>
      </w:r>
      <w:r w:rsidR="00415374" w:rsidRPr="00140D94">
        <w:rPr>
          <w:rFonts w:cstheme="minorHAnsi"/>
        </w:rPr>
        <w:t xml:space="preserve"> u iznosi 2.268.066,89 eura</w:t>
      </w:r>
    </w:p>
    <w:p w14:paraId="12DB6988" w14:textId="77777777" w:rsidR="00415374" w:rsidRPr="00140D94" w:rsidRDefault="003228D1" w:rsidP="00415374">
      <w:pPr>
        <w:pStyle w:val="Odlomakpopisa"/>
        <w:numPr>
          <w:ilvl w:val="0"/>
          <w:numId w:val="25"/>
        </w:numPr>
        <w:jc w:val="both"/>
        <w:rPr>
          <w:rFonts w:cstheme="minorHAnsi"/>
        </w:rPr>
      </w:pPr>
      <w:r w:rsidRPr="00140D94">
        <w:rPr>
          <w:rFonts w:cstheme="minorHAnsi"/>
        </w:rPr>
        <w:t xml:space="preserve"> obveze prama zaposlenicima (isplaćene </w:t>
      </w:r>
      <w:r w:rsidR="00415374" w:rsidRPr="00140D94">
        <w:rPr>
          <w:rFonts w:cstheme="minorHAnsi"/>
        </w:rPr>
        <w:t xml:space="preserve">naknade </w:t>
      </w:r>
      <w:r w:rsidRPr="00140D94">
        <w:rPr>
          <w:rFonts w:cstheme="minorHAnsi"/>
        </w:rPr>
        <w:t>zaposlenicima za prosinac 2024. godine dana 15. siječnja 2025. godine</w:t>
      </w:r>
      <w:r w:rsidR="00415374" w:rsidRPr="00140D94">
        <w:rPr>
          <w:rFonts w:cstheme="minorHAnsi"/>
        </w:rPr>
        <w:t>)</w:t>
      </w:r>
      <w:r w:rsidRPr="00140D94">
        <w:rPr>
          <w:rFonts w:cstheme="minorHAnsi"/>
        </w:rPr>
        <w:t xml:space="preserve"> u iznosu od </w:t>
      </w:r>
      <w:r w:rsidR="00415374" w:rsidRPr="00140D94">
        <w:rPr>
          <w:rFonts w:cstheme="minorHAnsi"/>
        </w:rPr>
        <w:t>1.416.215,18 eura</w:t>
      </w:r>
    </w:p>
    <w:p w14:paraId="066C499F" w14:textId="77777777" w:rsidR="00415374" w:rsidRPr="00140D94" w:rsidRDefault="00415374" w:rsidP="00415374">
      <w:pPr>
        <w:pStyle w:val="Odlomakpopisa"/>
        <w:numPr>
          <w:ilvl w:val="0"/>
          <w:numId w:val="25"/>
        </w:numPr>
        <w:jc w:val="both"/>
        <w:rPr>
          <w:rFonts w:cstheme="minorHAnsi"/>
        </w:rPr>
      </w:pPr>
      <w:r w:rsidRPr="00140D94">
        <w:rPr>
          <w:rFonts w:cstheme="minorHAnsi"/>
        </w:rPr>
        <w:t>ostale nespomenute obveze (PDV, predujmove, jamčevine i sl.) sa dospijećem u 2025. godini u iznosu od 16.224,35 eura</w:t>
      </w:r>
    </w:p>
    <w:p w14:paraId="0351099E" w14:textId="77777777" w:rsidR="00415374" w:rsidRPr="00140D94" w:rsidRDefault="00415374" w:rsidP="00B522B9">
      <w:pPr>
        <w:pStyle w:val="Odlomakpopisa"/>
        <w:numPr>
          <w:ilvl w:val="0"/>
          <w:numId w:val="25"/>
        </w:numPr>
        <w:jc w:val="both"/>
        <w:rPr>
          <w:rFonts w:cstheme="minorHAnsi"/>
        </w:rPr>
      </w:pPr>
      <w:r w:rsidRPr="00140D94">
        <w:rPr>
          <w:rFonts w:cstheme="minorHAnsi"/>
        </w:rPr>
        <w:t xml:space="preserve">obveze prema dobavljačima u iznosu od </w:t>
      </w:r>
      <w:r w:rsidR="00B522B9" w:rsidRPr="00140D94">
        <w:rPr>
          <w:rFonts w:cstheme="minorHAnsi"/>
        </w:rPr>
        <w:t>598.858,65</w:t>
      </w:r>
      <w:r w:rsidRPr="00140D94">
        <w:rPr>
          <w:rFonts w:cstheme="minorHAnsi"/>
        </w:rPr>
        <w:t xml:space="preserve"> eura sa dospijećem plaćanja u 2025. godini</w:t>
      </w:r>
    </w:p>
    <w:p w14:paraId="56EAB65B" w14:textId="77777777" w:rsidR="003228D1" w:rsidRPr="00140D94" w:rsidRDefault="003228D1" w:rsidP="004D4E10">
      <w:pPr>
        <w:jc w:val="both"/>
        <w:rPr>
          <w:rFonts w:cstheme="minorHAnsi"/>
        </w:rPr>
      </w:pPr>
    </w:p>
    <w:p w14:paraId="0562B79A" w14:textId="77777777" w:rsidR="004D4E10" w:rsidRPr="00140D94" w:rsidRDefault="00DA034D" w:rsidP="004D4E10">
      <w:pPr>
        <w:jc w:val="both"/>
        <w:rPr>
          <w:rFonts w:cstheme="minorHAnsi"/>
        </w:rPr>
      </w:pPr>
      <w:r w:rsidRPr="00140D94">
        <w:rPr>
          <w:rFonts w:cstheme="minorHAnsi"/>
        </w:rPr>
        <w:t>Od ukupnih obveza nedospjele obveze</w:t>
      </w:r>
      <w:r w:rsidR="007C3447" w:rsidRPr="00140D94">
        <w:rPr>
          <w:rFonts w:cstheme="minorHAnsi"/>
        </w:rPr>
        <w:t xml:space="preserve"> </w:t>
      </w:r>
      <w:r w:rsidRPr="00140D94">
        <w:rPr>
          <w:rFonts w:cstheme="minorHAnsi"/>
        </w:rPr>
        <w:t xml:space="preserve">iznose </w:t>
      </w:r>
      <w:r w:rsidR="003228D1" w:rsidRPr="00140D94">
        <w:rPr>
          <w:rFonts w:cstheme="minorHAnsi"/>
        </w:rPr>
        <w:t>4.136.076,02  eura (V009)</w:t>
      </w:r>
      <w:r w:rsidRPr="00140D94">
        <w:rPr>
          <w:rFonts w:cstheme="minorHAnsi"/>
        </w:rPr>
        <w:t xml:space="preserve"> te dospjele</w:t>
      </w:r>
      <w:r w:rsidR="003228D1" w:rsidRPr="00140D94">
        <w:rPr>
          <w:rFonts w:cstheme="minorHAnsi"/>
        </w:rPr>
        <w:t xml:space="preserve"> obveza u iznosu od 163.289,05 eura (V007).</w:t>
      </w:r>
    </w:p>
    <w:p w14:paraId="372A40B3" w14:textId="77777777" w:rsidR="003228D1" w:rsidRPr="00140D94" w:rsidRDefault="003228D1" w:rsidP="004D4E10">
      <w:pPr>
        <w:jc w:val="both"/>
        <w:rPr>
          <w:rFonts w:cstheme="minorHAnsi"/>
        </w:rPr>
      </w:pPr>
    </w:p>
    <w:p w14:paraId="1B4CEC30" w14:textId="62A40A1F" w:rsidR="004D4E10" w:rsidRPr="00140D94" w:rsidRDefault="004D4E10" w:rsidP="00CB7477">
      <w:pPr>
        <w:keepNext/>
        <w:keepLines/>
        <w:spacing w:before="40"/>
        <w:outlineLvl w:val="2"/>
        <w:rPr>
          <w:rFonts w:eastAsiaTheme="majorEastAsia" w:cstheme="minorHAnsi"/>
          <w:color w:val="1F4D78" w:themeColor="accent1" w:themeShade="7F"/>
        </w:rPr>
      </w:pPr>
    </w:p>
    <w:p w14:paraId="710DB331" w14:textId="77777777" w:rsidR="004D4E10" w:rsidRPr="00140D94" w:rsidRDefault="004D4E10" w:rsidP="00CB7477">
      <w:pPr>
        <w:keepNext/>
        <w:keepLines/>
        <w:spacing w:before="40"/>
        <w:outlineLvl w:val="2"/>
        <w:rPr>
          <w:rFonts w:eastAsiaTheme="majorEastAsia" w:cstheme="minorHAnsi"/>
          <w:color w:val="1F4D78" w:themeColor="accent1" w:themeShade="7F"/>
        </w:rPr>
      </w:pPr>
    </w:p>
    <w:p w14:paraId="35A06320" w14:textId="77777777" w:rsidR="006F4D41" w:rsidRPr="00140D94" w:rsidRDefault="006F4D41" w:rsidP="006F4D41">
      <w:pPr>
        <w:jc w:val="both"/>
        <w:rPr>
          <w:rFonts w:cstheme="minorHAnsi"/>
        </w:rPr>
      </w:pPr>
      <w:r w:rsidRPr="00140D94">
        <w:rPr>
          <w:rFonts w:cstheme="minorHAnsi"/>
        </w:rPr>
        <w:t xml:space="preserve">Zagreb, 31. siječnja 2024.    </w:t>
      </w:r>
    </w:p>
    <w:p w14:paraId="65079412" w14:textId="77777777" w:rsidR="006F4D41" w:rsidRPr="00140D94" w:rsidRDefault="006F4D41" w:rsidP="006F4D41">
      <w:pPr>
        <w:jc w:val="both"/>
        <w:rPr>
          <w:rFonts w:cstheme="minorHAnsi"/>
        </w:rPr>
      </w:pPr>
    </w:p>
    <w:p w14:paraId="6EC86162" w14:textId="77777777" w:rsidR="006F4D41" w:rsidRPr="00140D94" w:rsidRDefault="006F4D41" w:rsidP="006F4D41">
      <w:pPr>
        <w:jc w:val="both"/>
        <w:rPr>
          <w:rFonts w:cstheme="minorHAnsi"/>
        </w:rPr>
      </w:pPr>
      <w:r w:rsidRPr="00140D94">
        <w:rPr>
          <w:rFonts w:cstheme="minorHAnsi"/>
        </w:rPr>
        <w:t xml:space="preserve">   </w:t>
      </w:r>
    </w:p>
    <w:p w14:paraId="184CED8E" w14:textId="77777777" w:rsidR="004D4E10" w:rsidRPr="00140D94" w:rsidRDefault="006F4D41" w:rsidP="006F4D41">
      <w:pPr>
        <w:jc w:val="both"/>
        <w:rPr>
          <w:rFonts w:cstheme="minorHAnsi"/>
        </w:rPr>
      </w:pPr>
      <w:r w:rsidRPr="00140D94">
        <w:rPr>
          <w:rFonts w:cstheme="minorHAnsi"/>
        </w:rPr>
        <w:tab/>
      </w:r>
      <w:r w:rsidRPr="00140D94">
        <w:rPr>
          <w:rFonts w:cstheme="minorHAnsi"/>
        </w:rPr>
        <w:tab/>
      </w:r>
      <w:r w:rsidRPr="00140D94">
        <w:rPr>
          <w:rFonts w:cstheme="minorHAnsi"/>
        </w:rPr>
        <w:tab/>
      </w:r>
      <w:r w:rsidRPr="00140D94">
        <w:rPr>
          <w:rFonts w:cstheme="minorHAnsi"/>
        </w:rPr>
        <w:tab/>
      </w:r>
      <w:r w:rsidRPr="00140D94">
        <w:rPr>
          <w:rFonts w:cstheme="minorHAnsi"/>
        </w:rPr>
        <w:tab/>
      </w:r>
      <w:r w:rsidRPr="00140D94">
        <w:rPr>
          <w:rFonts w:cstheme="minorHAnsi"/>
        </w:rPr>
        <w:tab/>
      </w:r>
      <w:r w:rsidRPr="00140D94">
        <w:rPr>
          <w:rFonts w:cstheme="minorHAnsi"/>
        </w:rPr>
        <w:tab/>
        <w:t xml:space="preserve">       </w:t>
      </w:r>
    </w:p>
    <w:p w14:paraId="5A422B4A" w14:textId="77777777" w:rsidR="006F4D41" w:rsidRPr="00140D94" w:rsidRDefault="006F4D41" w:rsidP="006F4D41">
      <w:pPr>
        <w:jc w:val="both"/>
        <w:rPr>
          <w:rFonts w:cstheme="minorHAnsi"/>
        </w:rPr>
      </w:pPr>
    </w:p>
    <w:p w14:paraId="2442D4F7" w14:textId="77777777" w:rsidR="004D4E10" w:rsidRPr="00140D94" w:rsidRDefault="004D4E10" w:rsidP="00CB7477">
      <w:pPr>
        <w:keepNext/>
        <w:keepLines/>
        <w:spacing w:before="40"/>
        <w:outlineLvl w:val="2"/>
        <w:rPr>
          <w:rFonts w:eastAsiaTheme="majorEastAsia" w:cstheme="minorHAnsi"/>
          <w:color w:val="1F4D78" w:themeColor="accent1" w:themeShade="7F"/>
        </w:rPr>
      </w:pPr>
    </w:p>
    <w:p w14:paraId="32F0DAFA" w14:textId="77777777" w:rsidR="00140D94" w:rsidRPr="00140D94" w:rsidRDefault="00140D94">
      <w:pPr>
        <w:keepNext/>
        <w:keepLines/>
        <w:spacing w:before="40"/>
        <w:outlineLvl w:val="2"/>
        <w:rPr>
          <w:rFonts w:eastAsiaTheme="majorEastAsia" w:cstheme="minorHAnsi"/>
          <w:color w:val="1F4D78" w:themeColor="accent1" w:themeShade="7F"/>
        </w:rPr>
      </w:pPr>
    </w:p>
    <w:sectPr w:rsidR="00140D94" w:rsidRPr="00140D94" w:rsidSect="00F13941">
      <w:footerReference w:type="default" r:id="rId10"/>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FF6D6" w14:textId="77777777" w:rsidR="009630E4" w:rsidRDefault="009630E4" w:rsidP="00B00F84">
      <w:r>
        <w:separator/>
      </w:r>
    </w:p>
  </w:endnote>
  <w:endnote w:type="continuationSeparator" w:id="0">
    <w:p w14:paraId="1D4057FF" w14:textId="77777777" w:rsidR="009630E4" w:rsidRDefault="009630E4" w:rsidP="00B0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519616"/>
      <w:docPartObj>
        <w:docPartGallery w:val="Page Numbers (Bottom of Page)"/>
        <w:docPartUnique/>
      </w:docPartObj>
    </w:sdtPr>
    <w:sdtEndPr/>
    <w:sdtContent>
      <w:p w14:paraId="58BB129C" w14:textId="44097FA0" w:rsidR="00B334C9" w:rsidRDefault="00B334C9">
        <w:pPr>
          <w:pStyle w:val="Podnoje"/>
          <w:jc w:val="right"/>
        </w:pPr>
        <w:r>
          <w:fldChar w:fldCharType="begin"/>
        </w:r>
        <w:r>
          <w:instrText>PAGE   \* MERGEFORMAT</w:instrText>
        </w:r>
        <w:r>
          <w:fldChar w:fldCharType="separate"/>
        </w:r>
        <w:r w:rsidR="007E68BD">
          <w:rPr>
            <w:noProof/>
          </w:rPr>
          <w:t>2</w:t>
        </w:r>
        <w:r>
          <w:fldChar w:fldCharType="end"/>
        </w:r>
      </w:p>
    </w:sdtContent>
  </w:sdt>
  <w:p w14:paraId="4B2939FC" w14:textId="77777777" w:rsidR="009C7B18" w:rsidRDefault="009C7B1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E6507" w14:textId="77777777" w:rsidR="009630E4" w:rsidRDefault="009630E4" w:rsidP="00B00F84">
      <w:r>
        <w:separator/>
      </w:r>
    </w:p>
  </w:footnote>
  <w:footnote w:type="continuationSeparator" w:id="0">
    <w:p w14:paraId="5A89A3D4" w14:textId="77777777" w:rsidR="009630E4" w:rsidRDefault="009630E4" w:rsidP="00B00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331"/>
    <w:multiLevelType w:val="hybridMultilevel"/>
    <w:tmpl w:val="EFCE44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4340A2"/>
    <w:multiLevelType w:val="hybridMultilevel"/>
    <w:tmpl w:val="513CDE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5F773E"/>
    <w:multiLevelType w:val="hybridMultilevel"/>
    <w:tmpl w:val="9C9EDD0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8497D38"/>
    <w:multiLevelType w:val="hybridMultilevel"/>
    <w:tmpl w:val="E16CA68E"/>
    <w:lvl w:ilvl="0" w:tplc="C6C0369A">
      <w:start w:val="1"/>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3B4BF9"/>
    <w:multiLevelType w:val="hybridMultilevel"/>
    <w:tmpl w:val="A1CEF4E4"/>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5" w15:restartNumberingAfterBreak="0">
    <w:nsid w:val="0C9B360C"/>
    <w:multiLevelType w:val="hybridMultilevel"/>
    <w:tmpl w:val="25B037F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970C6B"/>
    <w:multiLevelType w:val="hybridMultilevel"/>
    <w:tmpl w:val="9F76165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DF77F9A"/>
    <w:multiLevelType w:val="hybridMultilevel"/>
    <w:tmpl w:val="F112DB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FEF6999"/>
    <w:multiLevelType w:val="hybridMultilevel"/>
    <w:tmpl w:val="BF86E7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4FD7083"/>
    <w:multiLevelType w:val="hybridMultilevel"/>
    <w:tmpl w:val="66042040"/>
    <w:lvl w:ilvl="0" w:tplc="C6C0369A">
      <w:start w:val="1"/>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897E30"/>
    <w:multiLevelType w:val="hybridMultilevel"/>
    <w:tmpl w:val="0D3AE4D6"/>
    <w:lvl w:ilvl="0" w:tplc="C6C0369A">
      <w:start w:val="1"/>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455E1B"/>
    <w:multiLevelType w:val="hybridMultilevel"/>
    <w:tmpl w:val="CAC450AA"/>
    <w:lvl w:ilvl="0" w:tplc="C6C0369A">
      <w:start w:val="1"/>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7DA19D1"/>
    <w:multiLevelType w:val="hybridMultilevel"/>
    <w:tmpl w:val="82AA15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2438F8"/>
    <w:multiLevelType w:val="hybridMultilevel"/>
    <w:tmpl w:val="94C00960"/>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4" w15:restartNumberingAfterBreak="0">
    <w:nsid w:val="2C4D4195"/>
    <w:multiLevelType w:val="hybridMultilevel"/>
    <w:tmpl w:val="45CC3A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FBB4379"/>
    <w:multiLevelType w:val="hybridMultilevel"/>
    <w:tmpl w:val="595A58DA"/>
    <w:lvl w:ilvl="0" w:tplc="041A0001">
      <w:start w:val="1"/>
      <w:numFmt w:val="bullet"/>
      <w:lvlText w:val=""/>
      <w:lvlJc w:val="left"/>
      <w:pPr>
        <w:ind w:left="1755" w:hanging="360"/>
      </w:pPr>
      <w:rPr>
        <w:rFonts w:ascii="Symbol" w:hAnsi="Symbol" w:hint="default"/>
      </w:rPr>
    </w:lvl>
    <w:lvl w:ilvl="1" w:tplc="041A0003" w:tentative="1">
      <w:start w:val="1"/>
      <w:numFmt w:val="bullet"/>
      <w:lvlText w:val="o"/>
      <w:lvlJc w:val="left"/>
      <w:pPr>
        <w:ind w:left="2475" w:hanging="360"/>
      </w:pPr>
      <w:rPr>
        <w:rFonts w:ascii="Courier New" w:hAnsi="Courier New" w:cs="Courier New" w:hint="default"/>
      </w:rPr>
    </w:lvl>
    <w:lvl w:ilvl="2" w:tplc="041A0005" w:tentative="1">
      <w:start w:val="1"/>
      <w:numFmt w:val="bullet"/>
      <w:lvlText w:val=""/>
      <w:lvlJc w:val="left"/>
      <w:pPr>
        <w:ind w:left="3195" w:hanging="360"/>
      </w:pPr>
      <w:rPr>
        <w:rFonts w:ascii="Wingdings" w:hAnsi="Wingdings" w:hint="default"/>
      </w:rPr>
    </w:lvl>
    <w:lvl w:ilvl="3" w:tplc="041A0001" w:tentative="1">
      <w:start w:val="1"/>
      <w:numFmt w:val="bullet"/>
      <w:lvlText w:val=""/>
      <w:lvlJc w:val="left"/>
      <w:pPr>
        <w:ind w:left="3915" w:hanging="360"/>
      </w:pPr>
      <w:rPr>
        <w:rFonts w:ascii="Symbol" w:hAnsi="Symbol" w:hint="default"/>
      </w:rPr>
    </w:lvl>
    <w:lvl w:ilvl="4" w:tplc="041A0003" w:tentative="1">
      <w:start w:val="1"/>
      <w:numFmt w:val="bullet"/>
      <w:lvlText w:val="o"/>
      <w:lvlJc w:val="left"/>
      <w:pPr>
        <w:ind w:left="4635" w:hanging="360"/>
      </w:pPr>
      <w:rPr>
        <w:rFonts w:ascii="Courier New" w:hAnsi="Courier New" w:cs="Courier New" w:hint="default"/>
      </w:rPr>
    </w:lvl>
    <w:lvl w:ilvl="5" w:tplc="041A0005" w:tentative="1">
      <w:start w:val="1"/>
      <w:numFmt w:val="bullet"/>
      <w:lvlText w:val=""/>
      <w:lvlJc w:val="left"/>
      <w:pPr>
        <w:ind w:left="5355" w:hanging="360"/>
      </w:pPr>
      <w:rPr>
        <w:rFonts w:ascii="Wingdings" w:hAnsi="Wingdings" w:hint="default"/>
      </w:rPr>
    </w:lvl>
    <w:lvl w:ilvl="6" w:tplc="041A0001" w:tentative="1">
      <w:start w:val="1"/>
      <w:numFmt w:val="bullet"/>
      <w:lvlText w:val=""/>
      <w:lvlJc w:val="left"/>
      <w:pPr>
        <w:ind w:left="6075" w:hanging="360"/>
      </w:pPr>
      <w:rPr>
        <w:rFonts w:ascii="Symbol" w:hAnsi="Symbol" w:hint="default"/>
      </w:rPr>
    </w:lvl>
    <w:lvl w:ilvl="7" w:tplc="041A0003" w:tentative="1">
      <w:start w:val="1"/>
      <w:numFmt w:val="bullet"/>
      <w:lvlText w:val="o"/>
      <w:lvlJc w:val="left"/>
      <w:pPr>
        <w:ind w:left="6795" w:hanging="360"/>
      </w:pPr>
      <w:rPr>
        <w:rFonts w:ascii="Courier New" w:hAnsi="Courier New" w:cs="Courier New" w:hint="default"/>
      </w:rPr>
    </w:lvl>
    <w:lvl w:ilvl="8" w:tplc="041A0005" w:tentative="1">
      <w:start w:val="1"/>
      <w:numFmt w:val="bullet"/>
      <w:lvlText w:val=""/>
      <w:lvlJc w:val="left"/>
      <w:pPr>
        <w:ind w:left="7515" w:hanging="360"/>
      </w:pPr>
      <w:rPr>
        <w:rFonts w:ascii="Wingdings" w:hAnsi="Wingdings" w:hint="default"/>
      </w:rPr>
    </w:lvl>
  </w:abstractNum>
  <w:abstractNum w:abstractNumId="16" w15:restartNumberingAfterBreak="0">
    <w:nsid w:val="4B8D3702"/>
    <w:multiLevelType w:val="hybridMultilevel"/>
    <w:tmpl w:val="653E5B6C"/>
    <w:lvl w:ilvl="0" w:tplc="6F0C7AB8">
      <w:start w:val="3238"/>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2F13903"/>
    <w:multiLevelType w:val="hybridMultilevel"/>
    <w:tmpl w:val="33C208AE"/>
    <w:lvl w:ilvl="0" w:tplc="C6C0369A">
      <w:start w:val="1"/>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5B2031FF"/>
    <w:multiLevelType w:val="hybridMultilevel"/>
    <w:tmpl w:val="1C3448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3FB6038"/>
    <w:multiLevelType w:val="hybridMultilevel"/>
    <w:tmpl w:val="04D000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BA568E6"/>
    <w:multiLevelType w:val="hybridMultilevel"/>
    <w:tmpl w:val="3796D0B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6DEF47D2"/>
    <w:multiLevelType w:val="hybridMultilevel"/>
    <w:tmpl w:val="5D48EE7A"/>
    <w:lvl w:ilvl="0" w:tplc="3F0AB52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6876A5E"/>
    <w:multiLevelType w:val="hybridMultilevel"/>
    <w:tmpl w:val="D87A71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8DE2E6F"/>
    <w:multiLevelType w:val="hybridMultilevel"/>
    <w:tmpl w:val="16923C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9271AB3"/>
    <w:multiLevelType w:val="hybridMultilevel"/>
    <w:tmpl w:val="34224D8C"/>
    <w:lvl w:ilvl="0" w:tplc="823237E2">
      <w:start w:val="1"/>
      <w:numFmt w:val="decimal"/>
      <w:lvlText w:val="%1."/>
      <w:lvlJc w:val="left"/>
      <w:pPr>
        <w:ind w:left="720" w:hanging="36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F80367E"/>
    <w:multiLevelType w:val="hybridMultilevel"/>
    <w:tmpl w:val="CDE459F2"/>
    <w:lvl w:ilvl="0" w:tplc="E04A3460">
      <w:start w:val="3238"/>
      <w:numFmt w:val="decimal"/>
      <w:lvlText w:val="%1"/>
      <w:lvlJc w:val="left"/>
      <w:pPr>
        <w:ind w:left="780" w:hanging="420"/>
      </w:pPr>
      <w:rPr>
        <w:rFonts w:cstheme="minorHAnsi"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F89731A"/>
    <w:multiLevelType w:val="hybridMultilevel"/>
    <w:tmpl w:val="DC3EE0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F995E1B"/>
    <w:multiLevelType w:val="hybridMultilevel"/>
    <w:tmpl w:val="6AC463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0"/>
  </w:num>
  <w:num w:numId="5">
    <w:abstractNumId w:val="8"/>
  </w:num>
  <w:num w:numId="6">
    <w:abstractNumId w:val="26"/>
  </w:num>
  <w:num w:numId="7">
    <w:abstractNumId w:val="20"/>
  </w:num>
  <w:num w:numId="8">
    <w:abstractNumId w:val="17"/>
  </w:num>
  <w:num w:numId="9">
    <w:abstractNumId w:val="11"/>
  </w:num>
  <w:num w:numId="10">
    <w:abstractNumId w:val="3"/>
  </w:num>
  <w:num w:numId="11">
    <w:abstractNumId w:val="10"/>
  </w:num>
  <w:num w:numId="12">
    <w:abstractNumId w:val="9"/>
  </w:num>
  <w:num w:numId="13">
    <w:abstractNumId w:val="7"/>
  </w:num>
  <w:num w:numId="14">
    <w:abstractNumId w:val="19"/>
  </w:num>
  <w:num w:numId="15">
    <w:abstractNumId w:val="27"/>
  </w:num>
  <w:num w:numId="16">
    <w:abstractNumId w:val="18"/>
  </w:num>
  <w:num w:numId="17">
    <w:abstractNumId w:val="22"/>
  </w:num>
  <w:num w:numId="18">
    <w:abstractNumId w:val="5"/>
  </w:num>
  <w:num w:numId="19">
    <w:abstractNumId w:val="13"/>
  </w:num>
  <w:num w:numId="20">
    <w:abstractNumId w:val="15"/>
  </w:num>
  <w:num w:numId="21">
    <w:abstractNumId w:val="12"/>
  </w:num>
  <w:num w:numId="22">
    <w:abstractNumId w:val="4"/>
  </w:num>
  <w:num w:numId="23">
    <w:abstractNumId w:val="14"/>
  </w:num>
  <w:num w:numId="24">
    <w:abstractNumId w:val="24"/>
  </w:num>
  <w:num w:numId="25">
    <w:abstractNumId w:val="23"/>
  </w:num>
  <w:num w:numId="26">
    <w:abstractNumId w:val="21"/>
  </w:num>
  <w:num w:numId="27">
    <w:abstractNumId w:val="2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97"/>
    <w:rsid w:val="00006DDB"/>
    <w:rsid w:val="000111BC"/>
    <w:rsid w:val="000224C4"/>
    <w:rsid w:val="00023AA0"/>
    <w:rsid w:val="0002467C"/>
    <w:rsid w:val="000305F3"/>
    <w:rsid w:val="000446E7"/>
    <w:rsid w:val="000467BD"/>
    <w:rsid w:val="00053E97"/>
    <w:rsid w:val="00055CF0"/>
    <w:rsid w:val="00060EC5"/>
    <w:rsid w:val="00062782"/>
    <w:rsid w:val="00065A4F"/>
    <w:rsid w:val="000746A2"/>
    <w:rsid w:val="0008370C"/>
    <w:rsid w:val="000B1972"/>
    <w:rsid w:val="000D7623"/>
    <w:rsid w:val="000E6D93"/>
    <w:rsid w:val="00102844"/>
    <w:rsid w:val="0010408E"/>
    <w:rsid w:val="001148BF"/>
    <w:rsid w:val="00117AF7"/>
    <w:rsid w:val="00120674"/>
    <w:rsid w:val="00131002"/>
    <w:rsid w:val="001318F9"/>
    <w:rsid w:val="00137145"/>
    <w:rsid w:val="00140D94"/>
    <w:rsid w:val="00145EC7"/>
    <w:rsid w:val="00146D00"/>
    <w:rsid w:val="00146F61"/>
    <w:rsid w:val="00154C46"/>
    <w:rsid w:val="00155084"/>
    <w:rsid w:val="001568DC"/>
    <w:rsid w:val="0016346B"/>
    <w:rsid w:val="0016464A"/>
    <w:rsid w:val="0017725C"/>
    <w:rsid w:val="00186926"/>
    <w:rsid w:val="00186A93"/>
    <w:rsid w:val="00187929"/>
    <w:rsid w:val="001919DA"/>
    <w:rsid w:val="001949FD"/>
    <w:rsid w:val="001C49A2"/>
    <w:rsid w:val="001E3687"/>
    <w:rsid w:val="001E51C9"/>
    <w:rsid w:val="001E56D3"/>
    <w:rsid w:val="001E5C3F"/>
    <w:rsid w:val="001F5B6B"/>
    <w:rsid w:val="0020520F"/>
    <w:rsid w:val="0021451B"/>
    <w:rsid w:val="002219B9"/>
    <w:rsid w:val="002266A1"/>
    <w:rsid w:val="002348FB"/>
    <w:rsid w:val="00241383"/>
    <w:rsid w:val="00292FF2"/>
    <w:rsid w:val="002A381B"/>
    <w:rsid w:val="002B5F0A"/>
    <w:rsid w:val="002C01F2"/>
    <w:rsid w:val="002C4EA3"/>
    <w:rsid w:val="002D0DDE"/>
    <w:rsid w:val="002E3A76"/>
    <w:rsid w:val="002F26BF"/>
    <w:rsid w:val="00303A93"/>
    <w:rsid w:val="003102ED"/>
    <w:rsid w:val="00310D26"/>
    <w:rsid w:val="003163FE"/>
    <w:rsid w:val="003228D1"/>
    <w:rsid w:val="0032361D"/>
    <w:rsid w:val="00333764"/>
    <w:rsid w:val="00333978"/>
    <w:rsid w:val="003436D0"/>
    <w:rsid w:val="0036009C"/>
    <w:rsid w:val="003672AE"/>
    <w:rsid w:val="0037513C"/>
    <w:rsid w:val="003977E8"/>
    <w:rsid w:val="003A103D"/>
    <w:rsid w:val="003B0202"/>
    <w:rsid w:val="003D137A"/>
    <w:rsid w:val="003D1561"/>
    <w:rsid w:val="003D15A6"/>
    <w:rsid w:val="003D3AD4"/>
    <w:rsid w:val="003D584F"/>
    <w:rsid w:val="003F1AC3"/>
    <w:rsid w:val="003F29A1"/>
    <w:rsid w:val="003F5A2A"/>
    <w:rsid w:val="0041114E"/>
    <w:rsid w:val="00415374"/>
    <w:rsid w:val="004158ED"/>
    <w:rsid w:val="00422D3E"/>
    <w:rsid w:val="00446791"/>
    <w:rsid w:val="0048116C"/>
    <w:rsid w:val="004A41B6"/>
    <w:rsid w:val="004A7812"/>
    <w:rsid w:val="004B7196"/>
    <w:rsid w:val="004C207A"/>
    <w:rsid w:val="004D4E10"/>
    <w:rsid w:val="004F097D"/>
    <w:rsid w:val="005070C5"/>
    <w:rsid w:val="00521931"/>
    <w:rsid w:val="00524321"/>
    <w:rsid w:val="00542690"/>
    <w:rsid w:val="0054752A"/>
    <w:rsid w:val="00551397"/>
    <w:rsid w:val="00556355"/>
    <w:rsid w:val="0055690C"/>
    <w:rsid w:val="00576540"/>
    <w:rsid w:val="005861DA"/>
    <w:rsid w:val="00590114"/>
    <w:rsid w:val="005959AF"/>
    <w:rsid w:val="00596EA2"/>
    <w:rsid w:val="005A3337"/>
    <w:rsid w:val="005A3A47"/>
    <w:rsid w:val="005B57D3"/>
    <w:rsid w:val="005C0611"/>
    <w:rsid w:val="005C21EA"/>
    <w:rsid w:val="005C7EDF"/>
    <w:rsid w:val="005D1654"/>
    <w:rsid w:val="005D25B6"/>
    <w:rsid w:val="005D778C"/>
    <w:rsid w:val="005E421F"/>
    <w:rsid w:val="005E58FC"/>
    <w:rsid w:val="005F0DA6"/>
    <w:rsid w:val="00611DE0"/>
    <w:rsid w:val="00613674"/>
    <w:rsid w:val="00641C3D"/>
    <w:rsid w:val="006442CD"/>
    <w:rsid w:val="006464C5"/>
    <w:rsid w:val="00664AB9"/>
    <w:rsid w:val="00672979"/>
    <w:rsid w:val="00672A44"/>
    <w:rsid w:val="006763B2"/>
    <w:rsid w:val="00682B86"/>
    <w:rsid w:val="00685F41"/>
    <w:rsid w:val="006B5519"/>
    <w:rsid w:val="006B7C77"/>
    <w:rsid w:val="006C0610"/>
    <w:rsid w:val="006C28DF"/>
    <w:rsid w:val="006E6F41"/>
    <w:rsid w:val="006F0A5E"/>
    <w:rsid w:val="006F147A"/>
    <w:rsid w:val="006F4D41"/>
    <w:rsid w:val="0072605C"/>
    <w:rsid w:val="00740653"/>
    <w:rsid w:val="007438CC"/>
    <w:rsid w:val="00743BEA"/>
    <w:rsid w:val="00745042"/>
    <w:rsid w:val="00745D8D"/>
    <w:rsid w:val="007668CF"/>
    <w:rsid w:val="00773544"/>
    <w:rsid w:val="00774576"/>
    <w:rsid w:val="007811F4"/>
    <w:rsid w:val="00784551"/>
    <w:rsid w:val="00786F48"/>
    <w:rsid w:val="00791E10"/>
    <w:rsid w:val="00793474"/>
    <w:rsid w:val="007A08B7"/>
    <w:rsid w:val="007A1F7F"/>
    <w:rsid w:val="007A7988"/>
    <w:rsid w:val="007C3447"/>
    <w:rsid w:val="007D2AE6"/>
    <w:rsid w:val="007E0864"/>
    <w:rsid w:val="007E68BD"/>
    <w:rsid w:val="007E6C43"/>
    <w:rsid w:val="007F6F76"/>
    <w:rsid w:val="00801399"/>
    <w:rsid w:val="0080177D"/>
    <w:rsid w:val="008064AD"/>
    <w:rsid w:val="00822754"/>
    <w:rsid w:val="00822E84"/>
    <w:rsid w:val="008231E2"/>
    <w:rsid w:val="00831C9F"/>
    <w:rsid w:val="00836671"/>
    <w:rsid w:val="00836E79"/>
    <w:rsid w:val="008543D5"/>
    <w:rsid w:val="0085791F"/>
    <w:rsid w:val="00877A08"/>
    <w:rsid w:val="0088412B"/>
    <w:rsid w:val="00892E33"/>
    <w:rsid w:val="008A745A"/>
    <w:rsid w:val="008B4D63"/>
    <w:rsid w:val="008C48EC"/>
    <w:rsid w:val="008D1CE8"/>
    <w:rsid w:val="008D3485"/>
    <w:rsid w:val="008D6221"/>
    <w:rsid w:val="00913DA8"/>
    <w:rsid w:val="009270A6"/>
    <w:rsid w:val="009306C3"/>
    <w:rsid w:val="009433F4"/>
    <w:rsid w:val="00950EE0"/>
    <w:rsid w:val="00952878"/>
    <w:rsid w:val="00953EDF"/>
    <w:rsid w:val="009630E4"/>
    <w:rsid w:val="00963A7F"/>
    <w:rsid w:val="00972704"/>
    <w:rsid w:val="009874E2"/>
    <w:rsid w:val="009A24D3"/>
    <w:rsid w:val="009A325A"/>
    <w:rsid w:val="009C4703"/>
    <w:rsid w:val="009C6A4B"/>
    <w:rsid w:val="009C7B18"/>
    <w:rsid w:val="009D60E2"/>
    <w:rsid w:val="009F2C08"/>
    <w:rsid w:val="009F48C4"/>
    <w:rsid w:val="009F760B"/>
    <w:rsid w:val="00A01CFC"/>
    <w:rsid w:val="00A0297A"/>
    <w:rsid w:val="00A10535"/>
    <w:rsid w:val="00A11CE6"/>
    <w:rsid w:val="00A16242"/>
    <w:rsid w:val="00A177F5"/>
    <w:rsid w:val="00A56F57"/>
    <w:rsid w:val="00A57173"/>
    <w:rsid w:val="00A656C9"/>
    <w:rsid w:val="00A6764B"/>
    <w:rsid w:val="00A9147A"/>
    <w:rsid w:val="00A95579"/>
    <w:rsid w:val="00A9715C"/>
    <w:rsid w:val="00AA511C"/>
    <w:rsid w:val="00AC0BD4"/>
    <w:rsid w:val="00AD1D0B"/>
    <w:rsid w:val="00AD30E8"/>
    <w:rsid w:val="00B00F84"/>
    <w:rsid w:val="00B04B9B"/>
    <w:rsid w:val="00B17EC2"/>
    <w:rsid w:val="00B334C9"/>
    <w:rsid w:val="00B369AC"/>
    <w:rsid w:val="00B37310"/>
    <w:rsid w:val="00B40065"/>
    <w:rsid w:val="00B475AB"/>
    <w:rsid w:val="00B522B9"/>
    <w:rsid w:val="00B608A5"/>
    <w:rsid w:val="00B674B5"/>
    <w:rsid w:val="00B749D9"/>
    <w:rsid w:val="00B74C51"/>
    <w:rsid w:val="00B753C2"/>
    <w:rsid w:val="00B8095D"/>
    <w:rsid w:val="00B87B1A"/>
    <w:rsid w:val="00B919DF"/>
    <w:rsid w:val="00BA34F9"/>
    <w:rsid w:val="00BA38CA"/>
    <w:rsid w:val="00BB2138"/>
    <w:rsid w:val="00BB3C54"/>
    <w:rsid w:val="00BE338B"/>
    <w:rsid w:val="00BE4FA2"/>
    <w:rsid w:val="00C05BF3"/>
    <w:rsid w:val="00C12971"/>
    <w:rsid w:val="00C236F6"/>
    <w:rsid w:val="00C43460"/>
    <w:rsid w:val="00C57401"/>
    <w:rsid w:val="00C74256"/>
    <w:rsid w:val="00C76623"/>
    <w:rsid w:val="00C90842"/>
    <w:rsid w:val="00C9513C"/>
    <w:rsid w:val="00CA20F9"/>
    <w:rsid w:val="00CB7477"/>
    <w:rsid w:val="00CC7ADB"/>
    <w:rsid w:val="00CE6ECE"/>
    <w:rsid w:val="00D1450A"/>
    <w:rsid w:val="00D256C9"/>
    <w:rsid w:val="00D4136F"/>
    <w:rsid w:val="00D41B77"/>
    <w:rsid w:val="00D559BE"/>
    <w:rsid w:val="00D659C9"/>
    <w:rsid w:val="00D7101D"/>
    <w:rsid w:val="00D71D2F"/>
    <w:rsid w:val="00D81479"/>
    <w:rsid w:val="00DA034D"/>
    <w:rsid w:val="00DA0E7B"/>
    <w:rsid w:val="00DA4BE3"/>
    <w:rsid w:val="00DA72F2"/>
    <w:rsid w:val="00DB67C8"/>
    <w:rsid w:val="00DC0B69"/>
    <w:rsid w:val="00DC33C5"/>
    <w:rsid w:val="00DD0F2F"/>
    <w:rsid w:val="00DE4710"/>
    <w:rsid w:val="00DF02C1"/>
    <w:rsid w:val="00E01A0E"/>
    <w:rsid w:val="00E04222"/>
    <w:rsid w:val="00E14C55"/>
    <w:rsid w:val="00E21644"/>
    <w:rsid w:val="00E25351"/>
    <w:rsid w:val="00E40961"/>
    <w:rsid w:val="00E73E09"/>
    <w:rsid w:val="00E84BD8"/>
    <w:rsid w:val="00E93863"/>
    <w:rsid w:val="00EA7302"/>
    <w:rsid w:val="00EB3B7F"/>
    <w:rsid w:val="00EB7837"/>
    <w:rsid w:val="00EC3030"/>
    <w:rsid w:val="00EC7077"/>
    <w:rsid w:val="00ED55F3"/>
    <w:rsid w:val="00EE1607"/>
    <w:rsid w:val="00EE3967"/>
    <w:rsid w:val="00EF76CF"/>
    <w:rsid w:val="00F0378E"/>
    <w:rsid w:val="00F10596"/>
    <w:rsid w:val="00F13941"/>
    <w:rsid w:val="00F23319"/>
    <w:rsid w:val="00F34609"/>
    <w:rsid w:val="00F6391F"/>
    <w:rsid w:val="00F64DB4"/>
    <w:rsid w:val="00F83833"/>
    <w:rsid w:val="00F846D9"/>
    <w:rsid w:val="00F93725"/>
    <w:rsid w:val="00FB2774"/>
    <w:rsid w:val="00FC1293"/>
    <w:rsid w:val="00FD5CF4"/>
    <w:rsid w:val="00FF7D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959A"/>
  <w15:chartTrackingRefBased/>
  <w15:docId w15:val="{BBD5A6E5-6D78-4FBF-8A54-F6A3C659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B69"/>
    <w:pPr>
      <w:spacing w:after="0" w:line="240" w:lineRule="auto"/>
    </w:pPr>
  </w:style>
  <w:style w:type="paragraph" w:styleId="Naslov1">
    <w:name w:val="heading 1"/>
    <w:basedOn w:val="Normal"/>
    <w:next w:val="Normal"/>
    <w:link w:val="Naslov1Char"/>
    <w:uiPriority w:val="9"/>
    <w:qFormat/>
    <w:rsid w:val="000837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0837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08370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6">
    <w:name w:val="heading 6"/>
    <w:basedOn w:val="Normal"/>
    <w:next w:val="Normal"/>
    <w:link w:val="Naslov6Char"/>
    <w:uiPriority w:val="9"/>
    <w:unhideWhenUsed/>
    <w:qFormat/>
    <w:rsid w:val="005861DA"/>
    <w:pPr>
      <w:keepNext/>
      <w:keepLines/>
      <w:spacing w:before="40"/>
      <w:outlineLvl w:val="5"/>
    </w:pPr>
    <w:rPr>
      <w:rFonts w:asciiTheme="majorHAnsi" w:eastAsiaTheme="majorEastAsia" w:hAnsiTheme="majorHAnsi" w:cstheme="majorBidi"/>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D3485"/>
    <w:rPr>
      <w:color w:val="0563C1" w:themeColor="hyperlink"/>
      <w:u w:val="single"/>
    </w:rPr>
  </w:style>
  <w:style w:type="character" w:customStyle="1" w:styleId="Naslov1Char">
    <w:name w:val="Naslov 1 Char"/>
    <w:basedOn w:val="Zadanifontodlomka"/>
    <w:link w:val="Naslov1"/>
    <w:uiPriority w:val="9"/>
    <w:rsid w:val="0008370C"/>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08370C"/>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08370C"/>
    <w:rPr>
      <w:rFonts w:asciiTheme="majorHAnsi" w:eastAsiaTheme="majorEastAsia" w:hAnsiTheme="majorHAnsi" w:cstheme="majorBidi"/>
      <w:color w:val="1F4D78" w:themeColor="accent1" w:themeShade="7F"/>
      <w:sz w:val="24"/>
      <w:szCs w:val="24"/>
    </w:rPr>
  </w:style>
  <w:style w:type="paragraph" w:styleId="Odlomakpopisa">
    <w:name w:val="List Paragraph"/>
    <w:basedOn w:val="Normal"/>
    <w:uiPriority w:val="34"/>
    <w:qFormat/>
    <w:rsid w:val="003D1561"/>
    <w:pPr>
      <w:ind w:left="720"/>
      <w:contextualSpacing/>
    </w:pPr>
  </w:style>
  <w:style w:type="paragraph" w:styleId="Zaglavlje">
    <w:name w:val="header"/>
    <w:basedOn w:val="Normal"/>
    <w:link w:val="ZaglavljeChar"/>
    <w:uiPriority w:val="99"/>
    <w:unhideWhenUsed/>
    <w:rsid w:val="00B00F84"/>
    <w:pPr>
      <w:tabs>
        <w:tab w:val="center" w:pos="4536"/>
        <w:tab w:val="right" w:pos="9072"/>
      </w:tabs>
    </w:pPr>
  </w:style>
  <w:style w:type="character" w:customStyle="1" w:styleId="ZaglavljeChar">
    <w:name w:val="Zaglavlje Char"/>
    <w:basedOn w:val="Zadanifontodlomka"/>
    <w:link w:val="Zaglavlje"/>
    <w:uiPriority w:val="99"/>
    <w:rsid w:val="00B00F84"/>
  </w:style>
  <w:style w:type="paragraph" w:styleId="Podnoje">
    <w:name w:val="footer"/>
    <w:basedOn w:val="Normal"/>
    <w:link w:val="PodnojeChar"/>
    <w:uiPriority w:val="99"/>
    <w:unhideWhenUsed/>
    <w:rsid w:val="00B00F84"/>
    <w:pPr>
      <w:tabs>
        <w:tab w:val="center" w:pos="4536"/>
        <w:tab w:val="right" w:pos="9072"/>
      </w:tabs>
    </w:pPr>
  </w:style>
  <w:style w:type="character" w:customStyle="1" w:styleId="PodnojeChar">
    <w:name w:val="Podnožje Char"/>
    <w:basedOn w:val="Zadanifontodlomka"/>
    <w:link w:val="Podnoje"/>
    <w:uiPriority w:val="99"/>
    <w:rsid w:val="00B00F84"/>
  </w:style>
  <w:style w:type="paragraph" w:styleId="TOCNaslov">
    <w:name w:val="TOC Heading"/>
    <w:basedOn w:val="Naslov1"/>
    <w:next w:val="Normal"/>
    <w:uiPriority w:val="39"/>
    <w:unhideWhenUsed/>
    <w:qFormat/>
    <w:rsid w:val="0021451B"/>
    <w:pPr>
      <w:spacing w:line="259" w:lineRule="auto"/>
      <w:outlineLvl w:val="9"/>
    </w:pPr>
    <w:rPr>
      <w:lang w:val="en-US"/>
    </w:rPr>
  </w:style>
  <w:style w:type="paragraph" w:styleId="Sadraj2">
    <w:name w:val="toc 2"/>
    <w:basedOn w:val="Normal"/>
    <w:next w:val="Normal"/>
    <w:autoRedefine/>
    <w:uiPriority w:val="39"/>
    <w:unhideWhenUsed/>
    <w:rsid w:val="0021451B"/>
    <w:pPr>
      <w:spacing w:after="100"/>
      <w:ind w:left="220"/>
    </w:pPr>
  </w:style>
  <w:style w:type="paragraph" w:styleId="Sadraj1">
    <w:name w:val="toc 1"/>
    <w:basedOn w:val="Normal"/>
    <w:next w:val="Normal"/>
    <w:autoRedefine/>
    <w:uiPriority w:val="39"/>
    <w:unhideWhenUsed/>
    <w:rsid w:val="0021451B"/>
    <w:pPr>
      <w:spacing w:after="100"/>
    </w:pPr>
  </w:style>
  <w:style w:type="paragraph" w:styleId="Sadraj3">
    <w:name w:val="toc 3"/>
    <w:basedOn w:val="Normal"/>
    <w:next w:val="Normal"/>
    <w:autoRedefine/>
    <w:uiPriority w:val="39"/>
    <w:unhideWhenUsed/>
    <w:rsid w:val="0021451B"/>
    <w:pPr>
      <w:spacing w:after="100"/>
      <w:ind w:left="440"/>
    </w:pPr>
  </w:style>
  <w:style w:type="character" w:customStyle="1" w:styleId="Naslov6Char">
    <w:name w:val="Naslov 6 Char"/>
    <w:basedOn w:val="Zadanifontodlomka"/>
    <w:link w:val="Naslov6"/>
    <w:uiPriority w:val="9"/>
    <w:rsid w:val="005861DA"/>
    <w:rPr>
      <w:rFonts w:asciiTheme="majorHAnsi" w:eastAsiaTheme="majorEastAsia" w:hAnsiTheme="majorHAnsi" w:cstheme="majorBidi"/>
      <w:color w:val="1F4D78" w:themeColor="accent1" w:themeShade="7F"/>
    </w:rPr>
  </w:style>
  <w:style w:type="paragraph" w:styleId="Tekstbalonia">
    <w:name w:val="Balloon Text"/>
    <w:basedOn w:val="Normal"/>
    <w:link w:val="TekstbaloniaChar"/>
    <w:uiPriority w:val="99"/>
    <w:semiHidden/>
    <w:unhideWhenUsed/>
    <w:rsid w:val="00140D9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40D94"/>
    <w:rPr>
      <w:rFonts w:ascii="Segoe UI" w:hAnsi="Segoe UI" w:cs="Segoe UI"/>
      <w:sz w:val="18"/>
      <w:szCs w:val="18"/>
    </w:rPr>
  </w:style>
  <w:style w:type="character" w:styleId="Referencakomentara">
    <w:name w:val="annotation reference"/>
    <w:basedOn w:val="Zadanifontodlomka"/>
    <w:uiPriority w:val="99"/>
    <w:semiHidden/>
    <w:unhideWhenUsed/>
    <w:rsid w:val="006F147A"/>
    <w:rPr>
      <w:sz w:val="16"/>
      <w:szCs w:val="16"/>
    </w:rPr>
  </w:style>
  <w:style w:type="paragraph" w:styleId="Tekstkomentara">
    <w:name w:val="annotation text"/>
    <w:basedOn w:val="Normal"/>
    <w:link w:val="TekstkomentaraChar"/>
    <w:uiPriority w:val="99"/>
    <w:semiHidden/>
    <w:unhideWhenUsed/>
    <w:rsid w:val="006F147A"/>
    <w:rPr>
      <w:sz w:val="20"/>
      <w:szCs w:val="20"/>
    </w:rPr>
  </w:style>
  <w:style w:type="character" w:customStyle="1" w:styleId="TekstkomentaraChar">
    <w:name w:val="Tekst komentara Char"/>
    <w:basedOn w:val="Zadanifontodlomka"/>
    <w:link w:val="Tekstkomentara"/>
    <w:uiPriority w:val="99"/>
    <w:semiHidden/>
    <w:rsid w:val="006F147A"/>
    <w:rPr>
      <w:sz w:val="20"/>
      <w:szCs w:val="20"/>
    </w:rPr>
  </w:style>
  <w:style w:type="paragraph" w:styleId="Predmetkomentara">
    <w:name w:val="annotation subject"/>
    <w:basedOn w:val="Tekstkomentara"/>
    <w:next w:val="Tekstkomentara"/>
    <w:link w:val="PredmetkomentaraChar"/>
    <w:uiPriority w:val="99"/>
    <w:semiHidden/>
    <w:unhideWhenUsed/>
    <w:rsid w:val="006F147A"/>
    <w:rPr>
      <w:b/>
      <w:bCs/>
    </w:rPr>
  </w:style>
  <w:style w:type="character" w:customStyle="1" w:styleId="PredmetkomentaraChar">
    <w:name w:val="Predmet komentara Char"/>
    <w:basedOn w:val="TekstkomentaraChar"/>
    <w:link w:val="Predmetkomentara"/>
    <w:uiPriority w:val="99"/>
    <w:semiHidden/>
    <w:rsid w:val="006F14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5354">
      <w:bodyDiv w:val="1"/>
      <w:marLeft w:val="0"/>
      <w:marRight w:val="0"/>
      <w:marTop w:val="0"/>
      <w:marBottom w:val="0"/>
      <w:divBdr>
        <w:top w:val="none" w:sz="0" w:space="0" w:color="auto"/>
        <w:left w:val="none" w:sz="0" w:space="0" w:color="auto"/>
        <w:bottom w:val="none" w:sz="0" w:space="0" w:color="auto"/>
        <w:right w:val="none" w:sz="0" w:space="0" w:color="auto"/>
      </w:divBdr>
    </w:div>
    <w:div w:id="82576428">
      <w:bodyDiv w:val="1"/>
      <w:marLeft w:val="0"/>
      <w:marRight w:val="0"/>
      <w:marTop w:val="0"/>
      <w:marBottom w:val="0"/>
      <w:divBdr>
        <w:top w:val="none" w:sz="0" w:space="0" w:color="auto"/>
        <w:left w:val="none" w:sz="0" w:space="0" w:color="auto"/>
        <w:bottom w:val="none" w:sz="0" w:space="0" w:color="auto"/>
        <w:right w:val="none" w:sz="0" w:space="0" w:color="auto"/>
      </w:divBdr>
    </w:div>
    <w:div w:id="105540837">
      <w:bodyDiv w:val="1"/>
      <w:marLeft w:val="0"/>
      <w:marRight w:val="0"/>
      <w:marTop w:val="0"/>
      <w:marBottom w:val="0"/>
      <w:divBdr>
        <w:top w:val="none" w:sz="0" w:space="0" w:color="auto"/>
        <w:left w:val="none" w:sz="0" w:space="0" w:color="auto"/>
        <w:bottom w:val="none" w:sz="0" w:space="0" w:color="auto"/>
        <w:right w:val="none" w:sz="0" w:space="0" w:color="auto"/>
      </w:divBdr>
    </w:div>
    <w:div w:id="149367885">
      <w:bodyDiv w:val="1"/>
      <w:marLeft w:val="0"/>
      <w:marRight w:val="0"/>
      <w:marTop w:val="0"/>
      <w:marBottom w:val="0"/>
      <w:divBdr>
        <w:top w:val="none" w:sz="0" w:space="0" w:color="auto"/>
        <w:left w:val="none" w:sz="0" w:space="0" w:color="auto"/>
        <w:bottom w:val="none" w:sz="0" w:space="0" w:color="auto"/>
        <w:right w:val="none" w:sz="0" w:space="0" w:color="auto"/>
      </w:divBdr>
    </w:div>
    <w:div w:id="171994890">
      <w:bodyDiv w:val="1"/>
      <w:marLeft w:val="0"/>
      <w:marRight w:val="0"/>
      <w:marTop w:val="0"/>
      <w:marBottom w:val="0"/>
      <w:divBdr>
        <w:top w:val="none" w:sz="0" w:space="0" w:color="auto"/>
        <w:left w:val="none" w:sz="0" w:space="0" w:color="auto"/>
        <w:bottom w:val="none" w:sz="0" w:space="0" w:color="auto"/>
        <w:right w:val="none" w:sz="0" w:space="0" w:color="auto"/>
      </w:divBdr>
    </w:div>
    <w:div w:id="283273155">
      <w:bodyDiv w:val="1"/>
      <w:marLeft w:val="0"/>
      <w:marRight w:val="0"/>
      <w:marTop w:val="0"/>
      <w:marBottom w:val="0"/>
      <w:divBdr>
        <w:top w:val="none" w:sz="0" w:space="0" w:color="auto"/>
        <w:left w:val="none" w:sz="0" w:space="0" w:color="auto"/>
        <w:bottom w:val="none" w:sz="0" w:space="0" w:color="auto"/>
        <w:right w:val="none" w:sz="0" w:space="0" w:color="auto"/>
      </w:divBdr>
    </w:div>
    <w:div w:id="287131257">
      <w:bodyDiv w:val="1"/>
      <w:marLeft w:val="0"/>
      <w:marRight w:val="0"/>
      <w:marTop w:val="0"/>
      <w:marBottom w:val="0"/>
      <w:divBdr>
        <w:top w:val="none" w:sz="0" w:space="0" w:color="auto"/>
        <w:left w:val="none" w:sz="0" w:space="0" w:color="auto"/>
        <w:bottom w:val="none" w:sz="0" w:space="0" w:color="auto"/>
        <w:right w:val="none" w:sz="0" w:space="0" w:color="auto"/>
      </w:divBdr>
    </w:div>
    <w:div w:id="338773334">
      <w:bodyDiv w:val="1"/>
      <w:marLeft w:val="0"/>
      <w:marRight w:val="0"/>
      <w:marTop w:val="0"/>
      <w:marBottom w:val="0"/>
      <w:divBdr>
        <w:top w:val="none" w:sz="0" w:space="0" w:color="auto"/>
        <w:left w:val="none" w:sz="0" w:space="0" w:color="auto"/>
        <w:bottom w:val="none" w:sz="0" w:space="0" w:color="auto"/>
        <w:right w:val="none" w:sz="0" w:space="0" w:color="auto"/>
      </w:divBdr>
    </w:div>
    <w:div w:id="344326597">
      <w:bodyDiv w:val="1"/>
      <w:marLeft w:val="0"/>
      <w:marRight w:val="0"/>
      <w:marTop w:val="0"/>
      <w:marBottom w:val="0"/>
      <w:divBdr>
        <w:top w:val="none" w:sz="0" w:space="0" w:color="auto"/>
        <w:left w:val="none" w:sz="0" w:space="0" w:color="auto"/>
        <w:bottom w:val="none" w:sz="0" w:space="0" w:color="auto"/>
        <w:right w:val="none" w:sz="0" w:space="0" w:color="auto"/>
      </w:divBdr>
    </w:div>
    <w:div w:id="377510023">
      <w:bodyDiv w:val="1"/>
      <w:marLeft w:val="0"/>
      <w:marRight w:val="0"/>
      <w:marTop w:val="0"/>
      <w:marBottom w:val="0"/>
      <w:divBdr>
        <w:top w:val="none" w:sz="0" w:space="0" w:color="auto"/>
        <w:left w:val="none" w:sz="0" w:space="0" w:color="auto"/>
        <w:bottom w:val="none" w:sz="0" w:space="0" w:color="auto"/>
        <w:right w:val="none" w:sz="0" w:space="0" w:color="auto"/>
      </w:divBdr>
    </w:div>
    <w:div w:id="394204888">
      <w:bodyDiv w:val="1"/>
      <w:marLeft w:val="0"/>
      <w:marRight w:val="0"/>
      <w:marTop w:val="0"/>
      <w:marBottom w:val="0"/>
      <w:divBdr>
        <w:top w:val="none" w:sz="0" w:space="0" w:color="auto"/>
        <w:left w:val="none" w:sz="0" w:space="0" w:color="auto"/>
        <w:bottom w:val="none" w:sz="0" w:space="0" w:color="auto"/>
        <w:right w:val="none" w:sz="0" w:space="0" w:color="auto"/>
      </w:divBdr>
    </w:div>
    <w:div w:id="559294542">
      <w:bodyDiv w:val="1"/>
      <w:marLeft w:val="0"/>
      <w:marRight w:val="0"/>
      <w:marTop w:val="0"/>
      <w:marBottom w:val="0"/>
      <w:divBdr>
        <w:top w:val="none" w:sz="0" w:space="0" w:color="auto"/>
        <w:left w:val="none" w:sz="0" w:space="0" w:color="auto"/>
        <w:bottom w:val="none" w:sz="0" w:space="0" w:color="auto"/>
        <w:right w:val="none" w:sz="0" w:space="0" w:color="auto"/>
      </w:divBdr>
    </w:div>
    <w:div w:id="581447455">
      <w:bodyDiv w:val="1"/>
      <w:marLeft w:val="0"/>
      <w:marRight w:val="0"/>
      <w:marTop w:val="0"/>
      <w:marBottom w:val="0"/>
      <w:divBdr>
        <w:top w:val="none" w:sz="0" w:space="0" w:color="auto"/>
        <w:left w:val="none" w:sz="0" w:space="0" w:color="auto"/>
        <w:bottom w:val="none" w:sz="0" w:space="0" w:color="auto"/>
        <w:right w:val="none" w:sz="0" w:space="0" w:color="auto"/>
      </w:divBdr>
    </w:div>
    <w:div w:id="678965512">
      <w:bodyDiv w:val="1"/>
      <w:marLeft w:val="0"/>
      <w:marRight w:val="0"/>
      <w:marTop w:val="0"/>
      <w:marBottom w:val="0"/>
      <w:divBdr>
        <w:top w:val="none" w:sz="0" w:space="0" w:color="auto"/>
        <w:left w:val="none" w:sz="0" w:space="0" w:color="auto"/>
        <w:bottom w:val="none" w:sz="0" w:space="0" w:color="auto"/>
        <w:right w:val="none" w:sz="0" w:space="0" w:color="auto"/>
      </w:divBdr>
    </w:div>
    <w:div w:id="750155829">
      <w:bodyDiv w:val="1"/>
      <w:marLeft w:val="0"/>
      <w:marRight w:val="0"/>
      <w:marTop w:val="0"/>
      <w:marBottom w:val="0"/>
      <w:divBdr>
        <w:top w:val="none" w:sz="0" w:space="0" w:color="auto"/>
        <w:left w:val="none" w:sz="0" w:space="0" w:color="auto"/>
        <w:bottom w:val="none" w:sz="0" w:space="0" w:color="auto"/>
        <w:right w:val="none" w:sz="0" w:space="0" w:color="auto"/>
      </w:divBdr>
    </w:div>
    <w:div w:id="960458708">
      <w:bodyDiv w:val="1"/>
      <w:marLeft w:val="0"/>
      <w:marRight w:val="0"/>
      <w:marTop w:val="0"/>
      <w:marBottom w:val="0"/>
      <w:divBdr>
        <w:top w:val="none" w:sz="0" w:space="0" w:color="auto"/>
        <w:left w:val="none" w:sz="0" w:space="0" w:color="auto"/>
        <w:bottom w:val="none" w:sz="0" w:space="0" w:color="auto"/>
        <w:right w:val="none" w:sz="0" w:space="0" w:color="auto"/>
      </w:divBdr>
    </w:div>
    <w:div w:id="976956245">
      <w:bodyDiv w:val="1"/>
      <w:marLeft w:val="0"/>
      <w:marRight w:val="0"/>
      <w:marTop w:val="0"/>
      <w:marBottom w:val="0"/>
      <w:divBdr>
        <w:top w:val="none" w:sz="0" w:space="0" w:color="auto"/>
        <w:left w:val="none" w:sz="0" w:space="0" w:color="auto"/>
        <w:bottom w:val="none" w:sz="0" w:space="0" w:color="auto"/>
        <w:right w:val="none" w:sz="0" w:space="0" w:color="auto"/>
      </w:divBdr>
    </w:div>
    <w:div w:id="1157301491">
      <w:bodyDiv w:val="1"/>
      <w:marLeft w:val="0"/>
      <w:marRight w:val="0"/>
      <w:marTop w:val="0"/>
      <w:marBottom w:val="0"/>
      <w:divBdr>
        <w:top w:val="none" w:sz="0" w:space="0" w:color="auto"/>
        <w:left w:val="none" w:sz="0" w:space="0" w:color="auto"/>
        <w:bottom w:val="none" w:sz="0" w:space="0" w:color="auto"/>
        <w:right w:val="none" w:sz="0" w:space="0" w:color="auto"/>
      </w:divBdr>
    </w:div>
    <w:div w:id="1308365469">
      <w:bodyDiv w:val="1"/>
      <w:marLeft w:val="0"/>
      <w:marRight w:val="0"/>
      <w:marTop w:val="0"/>
      <w:marBottom w:val="0"/>
      <w:divBdr>
        <w:top w:val="none" w:sz="0" w:space="0" w:color="auto"/>
        <w:left w:val="none" w:sz="0" w:space="0" w:color="auto"/>
        <w:bottom w:val="none" w:sz="0" w:space="0" w:color="auto"/>
        <w:right w:val="none" w:sz="0" w:space="0" w:color="auto"/>
      </w:divBdr>
    </w:div>
    <w:div w:id="1398473291">
      <w:bodyDiv w:val="1"/>
      <w:marLeft w:val="0"/>
      <w:marRight w:val="0"/>
      <w:marTop w:val="0"/>
      <w:marBottom w:val="0"/>
      <w:divBdr>
        <w:top w:val="none" w:sz="0" w:space="0" w:color="auto"/>
        <w:left w:val="none" w:sz="0" w:space="0" w:color="auto"/>
        <w:bottom w:val="none" w:sz="0" w:space="0" w:color="auto"/>
        <w:right w:val="none" w:sz="0" w:space="0" w:color="auto"/>
      </w:divBdr>
    </w:div>
    <w:div w:id="1416970978">
      <w:bodyDiv w:val="1"/>
      <w:marLeft w:val="0"/>
      <w:marRight w:val="0"/>
      <w:marTop w:val="0"/>
      <w:marBottom w:val="0"/>
      <w:divBdr>
        <w:top w:val="none" w:sz="0" w:space="0" w:color="auto"/>
        <w:left w:val="none" w:sz="0" w:space="0" w:color="auto"/>
        <w:bottom w:val="none" w:sz="0" w:space="0" w:color="auto"/>
        <w:right w:val="none" w:sz="0" w:space="0" w:color="auto"/>
      </w:divBdr>
    </w:div>
    <w:div w:id="1457873390">
      <w:bodyDiv w:val="1"/>
      <w:marLeft w:val="0"/>
      <w:marRight w:val="0"/>
      <w:marTop w:val="0"/>
      <w:marBottom w:val="0"/>
      <w:divBdr>
        <w:top w:val="none" w:sz="0" w:space="0" w:color="auto"/>
        <w:left w:val="none" w:sz="0" w:space="0" w:color="auto"/>
        <w:bottom w:val="none" w:sz="0" w:space="0" w:color="auto"/>
        <w:right w:val="none" w:sz="0" w:space="0" w:color="auto"/>
      </w:divBdr>
    </w:div>
    <w:div w:id="1660188556">
      <w:bodyDiv w:val="1"/>
      <w:marLeft w:val="0"/>
      <w:marRight w:val="0"/>
      <w:marTop w:val="0"/>
      <w:marBottom w:val="0"/>
      <w:divBdr>
        <w:top w:val="none" w:sz="0" w:space="0" w:color="auto"/>
        <w:left w:val="none" w:sz="0" w:space="0" w:color="auto"/>
        <w:bottom w:val="none" w:sz="0" w:space="0" w:color="auto"/>
        <w:right w:val="none" w:sz="0" w:space="0" w:color="auto"/>
      </w:divBdr>
    </w:div>
    <w:div w:id="1753042507">
      <w:bodyDiv w:val="1"/>
      <w:marLeft w:val="0"/>
      <w:marRight w:val="0"/>
      <w:marTop w:val="0"/>
      <w:marBottom w:val="0"/>
      <w:divBdr>
        <w:top w:val="none" w:sz="0" w:space="0" w:color="auto"/>
        <w:left w:val="none" w:sz="0" w:space="0" w:color="auto"/>
        <w:bottom w:val="none" w:sz="0" w:space="0" w:color="auto"/>
        <w:right w:val="none" w:sz="0" w:space="0" w:color="auto"/>
      </w:divBdr>
      <w:divsChild>
        <w:div w:id="116416606">
          <w:marLeft w:val="0"/>
          <w:marRight w:val="0"/>
          <w:marTop w:val="0"/>
          <w:marBottom w:val="0"/>
          <w:divBdr>
            <w:top w:val="none" w:sz="0" w:space="0" w:color="auto"/>
            <w:left w:val="none" w:sz="0" w:space="0" w:color="auto"/>
            <w:bottom w:val="none" w:sz="0" w:space="0" w:color="auto"/>
            <w:right w:val="none" w:sz="0" w:space="0" w:color="auto"/>
          </w:divBdr>
        </w:div>
        <w:div w:id="1658145927">
          <w:marLeft w:val="0"/>
          <w:marRight w:val="0"/>
          <w:marTop w:val="0"/>
          <w:marBottom w:val="0"/>
          <w:divBdr>
            <w:top w:val="none" w:sz="0" w:space="0" w:color="auto"/>
            <w:left w:val="none" w:sz="0" w:space="0" w:color="auto"/>
            <w:bottom w:val="none" w:sz="0" w:space="0" w:color="auto"/>
            <w:right w:val="none" w:sz="0" w:space="0" w:color="auto"/>
          </w:divBdr>
        </w:div>
        <w:div w:id="1979146273">
          <w:marLeft w:val="0"/>
          <w:marRight w:val="0"/>
          <w:marTop w:val="0"/>
          <w:marBottom w:val="0"/>
          <w:divBdr>
            <w:top w:val="none" w:sz="0" w:space="0" w:color="auto"/>
            <w:left w:val="none" w:sz="0" w:space="0" w:color="auto"/>
            <w:bottom w:val="none" w:sz="0" w:space="0" w:color="auto"/>
            <w:right w:val="none" w:sz="0" w:space="0" w:color="auto"/>
          </w:divBdr>
        </w:div>
      </w:divsChild>
    </w:div>
    <w:div w:id="1874268370">
      <w:bodyDiv w:val="1"/>
      <w:marLeft w:val="0"/>
      <w:marRight w:val="0"/>
      <w:marTop w:val="0"/>
      <w:marBottom w:val="0"/>
      <w:divBdr>
        <w:top w:val="none" w:sz="0" w:space="0" w:color="auto"/>
        <w:left w:val="none" w:sz="0" w:space="0" w:color="auto"/>
        <w:bottom w:val="none" w:sz="0" w:space="0" w:color="auto"/>
        <w:right w:val="none" w:sz="0" w:space="0" w:color="auto"/>
      </w:divBdr>
    </w:div>
    <w:div w:id="1876581849">
      <w:bodyDiv w:val="1"/>
      <w:marLeft w:val="0"/>
      <w:marRight w:val="0"/>
      <w:marTop w:val="0"/>
      <w:marBottom w:val="0"/>
      <w:divBdr>
        <w:top w:val="none" w:sz="0" w:space="0" w:color="auto"/>
        <w:left w:val="none" w:sz="0" w:space="0" w:color="auto"/>
        <w:bottom w:val="none" w:sz="0" w:space="0" w:color="auto"/>
        <w:right w:val="none" w:sz="0" w:space="0" w:color="auto"/>
      </w:divBdr>
    </w:div>
    <w:div w:id="1971324909">
      <w:bodyDiv w:val="1"/>
      <w:marLeft w:val="0"/>
      <w:marRight w:val="0"/>
      <w:marTop w:val="0"/>
      <w:marBottom w:val="0"/>
      <w:divBdr>
        <w:top w:val="none" w:sz="0" w:space="0" w:color="auto"/>
        <w:left w:val="none" w:sz="0" w:space="0" w:color="auto"/>
        <w:bottom w:val="none" w:sz="0" w:space="0" w:color="auto"/>
        <w:right w:val="none" w:sz="0" w:space="0" w:color="auto"/>
      </w:divBdr>
    </w:div>
    <w:div w:id="2028100182">
      <w:bodyDiv w:val="1"/>
      <w:marLeft w:val="0"/>
      <w:marRight w:val="0"/>
      <w:marTop w:val="0"/>
      <w:marBottom w:val="0"/>
      <w:divBdr>
        <w:top w:val="none" w:sz="0" w:space="0" w:color="auto"/>
        <w:left w:val="none" w:sz="0" w:space="0" w:color="auto"/>
        <w:bottom w:val="none" w:sz="0" w:space="0" w:color="auto"/>
        <w:right w:val="none" w:sz="0" w:space="0" w:color="auto"/>
      </w:divBdr>
    </w:div>
    <w:div w:id="2073961904">
      <w:bodyDiv w:val="1"/>
      <w:marLeft w:val="0"/>
      <w:marRight w:val="0"/>
      <w:marTop w:val="0"/>
      <w:marBottom w:val="0"/>
      <w:divBdr>
        <w:top w:val="none" w:sz="0" w:space="0" w:color="auto"/>
        <w:left w:val="none" w:sz="0" w:space="0" w:color="auto"/>
        <w:bottom w:val="none" w:sz="0" w:space="0" w:color="auto"/>
        <w:right w:val="none" w:sz="0" w:space="0" w:color="auto"/>
      </w:divBdr>
    </w:div>
    <w:div w:id="208417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tnazg.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itna@hitnazg.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63753-E7C2-40A3-B144-424B516B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1614</Words>
  <Characters>9202</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Dražen Dinter</dc:creator>
  <cp:keywords/>
  <dc:description/>
  <cp:lastModifiedBy>Ivona Kozarić</cp:lastModifiedBy>
  <cp:revision>2</cp:revision>
  <cp:lastPrinted>2025-01-31T09:29:00Z</cp:lastPrinted>
  <dcterms:created xsi:type="dcterms:W3CDTF">2025-02-19T11:14:00Z</dcterms:created>
  <dcterms:modified xsi:type="dcterms:W3CDTF">2025-02-19T11:14:00Z</dcterms:modified>
</cp:coreProperties>
</file>